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5912756" w:displacedByCustomXml="next"/>
    <w:bookmarkStart w:id="1" w:name="_Toc492546235" w:displacedByCustomXml="next"/>
    <w:sdt>
      <w:sdtPr>
        <w:rPr>
          <w:sz w:val="48"/>
          <w:szCs w:val="48"/>
        </w:rPr>
        <w:id w:val="461395414"/>
        <w:docPartObj>
          <w:docPartGallery w:val="Cover Pages"/>
          <w:docPartUnique/>
        </w:docPartObj>
      </w:sdtPr>
      <w:sdtEndPr>
        <w:rPr>
          <w:rFonts w:asciiTheme="minorHAnsi" w:eastAsiaTheme="minorHAnsi" w:hAnsiTheme="minorHAnsi" w:cstheme="minorHAnsi"/>
          <w:noProof w:val="0"/>
          <w:color w:val="2F3033"/>
          <w:spacing w:val="0"/>
          <w:kern w:val="0"/>
          <w:sz w:val="22"/>
          <w:szCs w:val="22"/>
        </w:rPr>
      </w:sdtEndPr>
      <w:sdtContent>
        <w:p w14:paraId="558DEA45" w14:textId="44D63B86" w:rsidR="009C26C6" w:rsidRPr="0099024B" w:rsidRDefault="009C26C6" w:rsidP="009C26C6">
          <w:pPr>
            <w:pStyle w:val="EPMPolicyTitle"/>
            <w:spacing w:after="240" w:line="880" w:lineRule="exact"/>
            <w:contextualSpacing w:val="0"/>
          </w:pPr>
          <w:r>
            <w:rPr>
              <w:color w:val="4B4B4B"/>
              <w:lang w:eastAsia="en-GB"/>
            </w:rPr>
            <w:drawing>
              <wp:anchor distT="0" distB="0" distL="114300" distR="114300" simplePos="0" relativeHeight="251660800" behindDoc="1" locked="0" layoutInCell="1" allowOverlap="1" wp14:anchorId="406148A3" wp14:editId="277AA035">
                <wp:simplePos x="0" y="0"/>
                <wp:positionH relativeFrom="column">
                  <wp:posOffset>4949190</wp:posOffset>
                </wp:positionH>
                <wp:positionV relativeFrom="paragraph">
                  <wp:posOffset>-64135</wp:posOffset>
                </wp:positionV>
                <wp:extent cx="1435100" cy="710952"/>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1107B8EC" w14:textId="7BD22C9D" w:rsidR="00231DC4" w:rsidRDefault="009C26C6" w:rsidP="00231DC4">
          <w:pPr>
            <w:jc w:val="center"/>
          </w:pPr>
          <w:r w:rsidRPr="00FD5719">
            <w:rPr>
              <w:noProof/>
              <w:lang w:eastAsia="en-GB"/>
            </w:rPr>
            <w:drawing>
              <wp:inline distT="0" distB="0" distL="0" distR="0" wp14:anchorId="49067FCA" wp14:editId="196152DC">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704DEA1B" w14:textId="7B58D999" w:rsidR="00231DC4" w:rsidRDefault="00F442F4" w:rsidP="00231DC4">
          <w:pPr>
            <w:jc w:val="center"/>
            <w:rPr>
              <w:b/>
              <w:sz w:val="56"/>
              <w:szCs w:val="56"/>
            </w:rPr>
          </w:pPr>
          <w:r>
            <w:rPr>
              <w:b/>
              <w:sz w:val="56"/>
              <w:szCs w:val="56"/>
            </w:rPr>
            <w:t>Disiplin</w:t>
          </w:r>
          <w:r w:rsidR="00231DC4">
            <w:rPr>
              <w:b/>
              <w:sz w:val="56"/>
              <w:szCs w:val="56"/>
            </w:rPr>
            <w:t>ary Procedure Relating to Misconduct for all Employees</w:t>
          </w:r>
        </w:p>
        <w:p w14:paraId="781B0CBC" w14:textId="0FC1E421" w:rsidR="00231DC4" w:rsidRPr="00C055EA" w:rsidRDefault="009C26C6" w:rsidP="00231DC4">
          <w:pPr>
            <w:jc w:val="center"/>
            <w:rPr>
              <w:b/>
              <w:sz w:val="24"/>
              <w:szCs w:val="24"/>
            </w:rPr>
          </w:pPr>
          <w:r>
            <w:rPr>
              <w:b/>
              <w:sz w:val="24"/>
              <w:szCs w:val="24"/>
            </w:rPr>
            <w:t>July 2024</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231DC4" w:rsidRPr="00A440FD" w14:paraId="269E39DE" w14:textId="77777777" w:rsidTr="00E05842">
            <w:trPr>
              <w:trHeight w:val="230"/>
              <w:jc w:val="center"/>
            </w:trPr>
            <w:tc>
              <w:tcPr>
                <w:tcW w:w="2551" w:type="dxa"/>
              </w:tcPr>
              <w:p w14:paraId="40C47D1C" w14:textId="77777777" w:rsidR="00231DC4" w:rsidRPr="00A440FD" w:rsidRDefault="00231DC4" w:rsidP="00E05842">
                <w:pPr>
                  <w:pStyle w:val="Default"/>
                  <w:rPr>
                    <w:sz w:val="22"/>
                    <w:szCs w:val="22"/>
                  </w:rPr>
                </w:pPr>
                <w:r w:rsidRPr="00A440FD">
                  <w:rPr>
                    <w:b/>
                    <w:bCs/>
                    <w:sz w:val="22"/>
                    <w:szCs w:val="22"/>
                  </w:rPr>
                  <w:t xml:space="preserve">Lead author/initiator(s): </w:t>
                </w:r>
              </w:p>
            </w:tc>
            <w:tc>
              <w:tcPr>
                <w:tcW w:w="4962" w:type="dxa"/>
                <w:vAlign w:val="center"/>
              </w:tcPr>
              <w:p w14:paraId="4D007BE7" w14:textId="77777777" w:rsidR="00231DC4" w:rsidRPr="00A440FD" w:rsidRDefault="00231DC4" w:rsidP="00E05842">
                <w:pPr>
                  <w:pStyle w:val="Default"/>
                  <w:rPr>
                    <w:sz w:val="22"/>
                    <w:szCs w:val="22"/>
                  </w:rPr>
                </w:pPr>
                <w:r>
                  <w:rPr>
                    <w:sz w:val="22"/>
                    <w:szCs w:val="22"/>
                  </w:rPr>
                  <w:t>Laura Fielding</w:t>
                </w:r>
              </w:p>
            </w:tc>
          </w:tr>
          <w:tr w:rsidR="00231DC4" w:rsidRPr="00A440FD" w14:paraId="78757117" w14:textId="77777777" w:rsidTr="00E05842">
            <w:trPr>
              <w:trHeight w:val="104"/>
              <w:jc w:val="center"/>
            </w:trPr>
            <w:tc>
              <w:tcPr>
                <w:tcW w:w="2551" w:type="dxa"/>
              </w:tcPr>
              <w:p w14:paraId="1F1EB12C" w14:textId="77777777" w:rsidR="00231DC4" w:rsidRPr="00A440FD" w:rsidRDefault="00231DC4" w:rsidP="00E05842">
                <w:pPr>
                  <w:pStyle w:val="Default"/>
                  <w:rPr>
                    <w:sz w:val="22"/>
                    <w:szCs w:val="22"/>
                  </w:rPr>
                </w:pPr>
                <w:r w:rsidRPr="00A440FD">
                  <w:rPr>
                    <w:b/>
                    <w:bCs/>
                    <w:sz w:val="22"/>
                    <w:szCs w:val="22"/>
                  </w:rPr>
                  <w:t xml:space="preserve">Next Review Date: </w:t>
                </w:r>
              </w:p>
            </w:tc>
            <w:tc>
              <w:tcPr>
                <w:tcW w:w="4962" w:type="dxa"/>
              </w:tcPr>
              <w:p w14:paraId="777FAF4F" w14:textId="4BC9306B" w:rsidR="00231DC4" w:rsidRPr="00A440FD" w:rsidRDefault="009C26C6" w:rsidP="00E05842">
                <w:pPr>
                  <w:pStyle w:val="Default"/>
                  <w:rPr>
                    <w:sz w:val="22"/>
                    <w:szCs w:val="22"/>
                  </w:rPr>
                </w:pPr>
                <w:r>
                  <w:rPr>
                    <w:sz w:val="22"/>
                    <w:szCs w:val="22"/>
                  </w:rPr>
                  <w:t>July 2025</w:t>
                </w:r>
              </w:p>
            </w:tc>
          </w:tr>
          <w:tr w:rsidR="00231DC4" w:rsidRPr="00A440FD" w14:paraId="33812257" w14:textId="77777777" w:rsidTr="00E05842">
            <w:trPr>
              <w:trHeight w:val="104"/>
              <w:jc w:val="center"/>
            </w:trPr>
            <w:tc>
              <w:tcPr>
                <w:tcW w:w="2551" w:type="dxa"/>
              </w:tcPr>
              <w:p w14:paraId="4C808840" w14:textId="77777777" w:rsidR="00231DC4" w:rsidRPr="00A440FD" w:rsidRDefault="00231DC4" w:rsidP="00E05842">
                <w:pPr>
                  <w:pStyle w:val="Default"/>
                  <w:rPr>
                    <w:sz w:val="22"/>
                    <w:szCs w:val="22"/>
                  </w:rPr>
                </w:pPr>
                <w:r w:rsidRPr="00A440FD">
                  <w:rPr>
                    <w:b/>
                    <w:bCs/>
                    <w:sz w:val="22"/>
                    <w:szCs w:val="22"/>
                  </w:rPr>
                  <w:t xml:space="preserve">Version No: </w:t>
                </w:r>
              </w:p>
            </w:tc>
            <w:tc>
              <w:tcPr>
                <w:tcW w:w="4962" w:type="dxa"/>
              </w:tcPr>
              <w:p w14:paraId="79F7D3B1" w14:textId="469216D0" w:rsidR="00231DC4" w:rsidRPr="00A440FD" w:rsidRDefault="009C26C6" w:rsidP="00E05842">
                <w:pPr>
                  <w:pStyle w:val="Default"/>
                  <w:rPr>
                    <w:sz w:val="22"/>
                    <w:szCs w:val="22"/>
                  </w:rPr>
                </w:pPr>
                <w:r>
                  <w:rPr>
                    <w:sz w:val="22"/>
                    <w:szCs w:val="22"/>
                  </w:rPr>
                  <w:t>2</w:t>
                </w:r>
              </w:p>
            </w:tc>
          </w:tr>
          <w:tr w:rsidR="00231DC4" w:rsidRPr="00A440FD" w14:paraId="41B50CD7" w14:textId="77777777" w:rsidTr="00E05842">
            <w:trPr>
              <w:trHeight w:val="103"/>
              <w:jc w:val="center"/>
            </w:trPr>
            <w:tc>
              <w:tcPr>
                <w:tcW w:w="2551" w:type="dxa"/>
              </w:tcPr>
              <w:p w14:paraId="7C0F32F4" w14:textId="77777777" w:rsidR="00231DC4" w:rsidRPr="00A440FD" w:rsidRDefault="00231DC4" w:rsidP="00E05842">
                <w:pPr>
                  <w:pStyle w:val="Default"/>
                  <w:rPr>
                    <w:sz w:val="22"/>
                    <w:szCs w:val="22"/>
                  </w:rPr>
                </w:pPr>
                <w:r w:rsidRPr="00A440FD">
                  <w:rPr>
                    <w:b/>
                    <w:bCs/>
                    <w:sz w:val="22"/>
                    <w:szCs w:val="22"/>
                  </w:rPr>
                  <w:t xml:space="preserve">Ratified by: </w:t>
                </w:r>
              </w:p>
            </w:tc>
            <w:tc>
              <w:tcPr>
                <w:tcW w:w="4962" w:type="dxa"/>
              </w:tcPr>
              <w:p w14:paraId="6E22A230" w14:textId="77777777" w:rsidR="00231DC4" w:rsidRPr="00A440FD" w:rsidRDefault="00231DC4" w:rsidP="00E05842">
                <w:pPr>
                  <w:pStyle w:val="Default"/>
                  <w:rPr>
                    <w:sz w:val="22"/>
                    <w:szCs w:val="22"/>
                  </w:rPr>
                </w:pPr>
                <w:r w:rsidRPr="00A440FD">
                  <w:rPr>
                    <w:sz w:val="22"/>
                    <w:szCs w:val="22"/>
                  </w:rPr>
                  <w:t>Spring Meadow Infant and Nursery School Local Governing Body</w:t>
                </w:r>
              </w:p>
            </w:tc>
          </w:tr>
          <w:tr w:rsidR="00231DC4" w:rsidRPr="00A440FD" w14:paraId="7B0602EF" w14:textId="77777777" w:rsidTr="00E05842">
            <w:trPr>
              <w:trHeight w:val="104"/>
              <w:jc w:val="center"/>
            </w:trPr>
            <w:tc>
              <w:tcPr>
                <w:tcW w:w="2551" w:type="dxa"/>
              </w:tcPr>
              <w:p w14:paraId="59BA6241" w14:textId="77777777" w:rsidR="00231DC4" w:rsidRPr="00A440FD" w:rsidRDefault="00231DC4" w:rsidP="00E05842">
                <w:pPr>
                  <w:pStyle w:val="Default"/>
                  <w:rPr>
                    <w:sz w:val="22"/>
                    <w:szCs w:val="22"/>
                  </w:rPr>
                </w:pPr>
                <w:r w:rsidRPr="00A440FD">
                  <w:rPr>
                    <w:b/>
                    <w:bCs/>
                    <w:sz w:val="22"/>
                    <w:szCs w:val="22"/>
                  </w:rPr>
                  <w:t xml:space="preserve">Date Ratified: </w:t>
                </w:r>
              </w:p>
            </w:tc>
            <w:tc>
              <w:tcPr>
                <w:tcW w:w="4962" w:type="dxa"/>
              </w:tcPr>
              <w:p w14:paraId="5E5842C2" w14:textId="77777777" w:rsidR="00231DC4" w:rsidRPr="00A440FD" w:rsidRDefault="00231DC4" w:rsidP="00E05842">
                <w:pPr>
                  <w:pStyle w:val="Default"/>
                  <w:rPr>
                    <w:sz w:val="22"/>
                    <w:szCs w:val="22"/>
                  </w:rPr>
                </w:pPr>
              </w:p>
            </w:tc>
          </w:tr>
        </w:tbl>
        <w:p w14:paraId="0C2A96E3" w14:textId="77777777" w:rsidR="009A4CB8" w:rsidRDefault="009A4CB8" w:rsidP="00231DC4">
          <w:pPr>
            <w:rPr>
              <w:b/>
              <w:bCs/>
            </w:rPr>
          </w:pPr>
        </w:p>
        <w:p w14:paraId="189E3DA9" w14:textId="77777777" w:rsidR="009A4CB8" w:rsidRDefault="009A4CB8" w:rsidP="00231DC4">
          <w:pPr>
            <w:rPr>
              <w:b/>
              <w:bCs/>
            </w:rPr>
          </w:pPr>
        </w:p>
        <w:p w14:paraId="3C9C3B07" w14:textId="77777777" w:rsidR="009A4CB8" w:rsidRDefault="009A4CB8" w:rsidP="00231DC4">
          <w:pPr>
            <w:rPr>
              <w:b/>
              <w:bCs/>
            </w:rPr>
          </w:pPr>
        </w:p>
        <w:p w14:paraId="35C936CB" w14:textId="77777777" w:rsidR="009A4CB8" w:rsidRDefault="009A4CB8" w:rsidP="00231DC4">
          <w:pPr>
            <w:rPr>
              <w:b/>
              <w:bCs/>
            </w:rPr>
          </w:pPr>
        </w:p>
        <w:p w14:paraId="4D3A46EE" w14:textId="77777777" w:rsidR="009A4CB8" w:rsidRDefault="009A4CB8" w:rsidP="00231DC4">
          <w:pPr>
            <w:rPr>
              <w:b/>
              <w:bCs/>
            </w:rPr>
          </w:pPr>
        </w:p>
        <w:p w14:paraId="17F21D96" w14:textId="77777777" w:rsidR="009A4CB8" w:rsidRDefault="009A4CB8" w:rsidP="00231DC4">
          <w:pPr>
            <w:rPr>
              <w:b/>
              <w:bCs/>
            </w:rPr>
          </w:pPr>
        </w:p>
        <w:p w14:paraId="4A23F89A" w14:textId="166E1396" w:rsidR="00231DC4" w:rsidRDefault="002B1A1D" w:rsidP="00231DC4">
          <w:pPr>
            <w:rPr>
              <w:b/>
              <w:bCs/>
            </w:rPr>
          </w:pPr>
        </w:p>
      </w:sdtContent>
    </w:sdt>
    <w:p w14:paraId="6104FB5E" w14:textId="77777777" w:rsidR="00231DC4" w:rsidRDefault="00231DC4" w:rsidP="00231DC4"/>
    <w:p w14:paraId="172C33AC" w14:textId="77777777" w:rsidR="00231DC4" w:rsidRPr="007C28EE" w:rsidRDefault="00231DC4" w:rsidP="00231DC4">
      <w:pPr>
        <w:rPr>
          <w:sz w:val="24"/>
          <w:szCs w:val="24"/>
        </w:rPr>
      </w:pPr>
    </w:p>
    <w:p w14:paraId="31B3E432" w14:textId="77777777" w:rsidR="009C26C6" w:rsidRPr="007C28EE" w:rsidRDefault="009C26C6" w:rsidP="009C26C6">
      <w:pPr>
        <w:pStyle w:val="EPMPageHeading"/>
        <w:rPr>
          <w:rFonts w:asciiTheme="minorHAnsi" w:hAnsiTheme="minorHAnsi" w:cstheme="minorHAnsi"/>
          <w:sz w:val="24"/>
        </w:rPr>
      </w:pPr>
      <w:r w:rsidRPr="007C28EE">
        <w:rPr>
          <w:rFonts w:asciiTheme="minorHAnsi" w:hAnsiTheme="minorHAnsi" w:cstheme="minorHAnsi"/>
          <w:sz w:val="24"/>
        </w:rPr>
        <w:t>Contents</w:t>
      </w:r>
    </w:p>
    <w:p w14:paraId="5D46319F" w14:textId="77777777" w:rsidR="009C26C6" w:rsidRPr="007C28EE" w:rsidRDefault="009C26C6" w:rsidP="009C26C6">
      <w:pPr>
        <w:pStyle w:val="TOC1"/>
        <w:tabs>
          <w:tab w:val="left" w:pos="567"/>
          <w:tab w:val="right" w:pos="9854"/>
        </w:tabs>
        <w:rPr>
          <w:noProof/>
          <w:sz w:val="24"/>
          <w:szCs w:val="24"/>
        </w:rPr>
      </w:pPr>
      <w:r w:rsidRPr="007C28EE">
        <w:rPr>
          <w:sz w:val="24"/>
          <w:szCs w:val="24"/>
        </w:rPr>
        <w:fldChar w:fldCharType="begin"/>
      </w:r>
      <w:r w:rsidRPr="007C28EE">
        <w:rPr>
          <w:sz w:val="24"/>
          <w:szCs w:val="24"/>
        </w:rPr>
        <w:instrText xml:space="preserve"> TOC \o "1-3" \h \z \t "EPM Numbered Heading,1" </w:instrText>
      </w:r>
      <w:r w:rsidRPr="007C28EE">
        <w:rPr>
          <w:sz w:val="24"/>
          <w:szCs w:val="24"/>
        </w:rPr>
        <w:fldChar w:fldCharType="separate"/>
      </w:r>
      <w:hyperlink w:anchor="_Toc128052071" w:history="1">
        <w:r w:rsidRPr="007C28EE">
          <w:rPr>
            <w:rStyle w:val="Hyperlink"/>
            <w:noProof/>
            <w:sz w:val="24"/>
            <w:szCs w:val="24"/>
          </w:rPr>
          <w:t>1.</w:t>
        </w:r>
        <w:r w:rsidRPr="007C28EE">
          <w:rPr>
            <w:noProof/>
            <w:sz w:val="24"/>
            <w:szCs w:val="24"/>
          </w:rPr>
          <w:tab/>
        </w:r>
        <w:r w:rsidRPr="007C28EE">
          <w:rPr>
            <w:rStyle w:val="Hyperlink"/>
            <w:noProof/>
            <w:sz w:val="24"/>
            <w:szCs w:val="24"/>
          </w:rPr>
          <w:t>Terms of Reference</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_Toc128052071 \h </w:instrText>
        </w:r>
        <w:r w:rsidRPr="007C28EE">
          <w:rPr>
            <w:noProof/>
            <w:webHidden/>
            <w:sz w:val="24"/>
            <w:szCs w:val="24"/>
          </w:rPr>
        </w:r>
        <w:r w:rsidRPr="007C28EE">
          <w:rPr>
            <w:noProof/>
            <w:webHidden/>
            <w:sz w:val="24"/>
            <w:szCs w:val="24"/>
          </w:rPr>
          <w:fldChar w:fldCharType="separate"/>
        </w:r>
        <w:r w:rsidRPr="007C28EE">
          <w:rPr>
            <w:noProof/>
            <w:webHidden/>
            <w:sz w:val="24"/>
            <w:szCs w:val="24"/>
          </w:rPr>
          <w:t>4</w:t>
        </w:r>
        <w:r w:rsidRPr="007C28EE">
          <w:rPr>
            <w:noProof/>
            <w:webHidden/>
            <w:sz w:val="24"/>
            <w:szCs w:val="24"/>
          </w:rPr>
          <w:fldChar w:fldCharType="end"/>
        </w:r>
      </w:hyperlink>
    </w:p>
    <w:p w14:paraId="68EA8A55" w14:textId="77777777" w:rsidR="009C26C6" w:rsidRPr="007C28EE" w:rsidRDefault="009C26C6" w:rsidP="009C26C6">
      <w:pPr>
        <w:pStyle w:val="TOC1"/>
        <w:tabs>
          <w:tab w:val="left" w:pos="567"/>
          <w:tab w:val="right" w:pos="9854"/>
        </w:tabs>
        <w:rPr>
          <w:noProof/>
          <w:sz w:val="24"/>
          <w:szCs w:val="24"/>
        </w:rPr>
      </w:pPr>
      <w:hyperlink w:anchor="_Toc128052072" w:history="1">
        <w:r w:rsidRPr="007C28EE">
          <w:rPr>
            <w:rStyle w:val="Hyperlink"/>
            <w:noProof/>
            <w:sz w:val="24"/>
            <w:szCs w:val="24"/>
          </w:rPr>
          <w:t>2.</w:t>
        </w:r>
        <w:r w:rsidRPr="007C28EE">
          <w:rPr>
            <w:noProof/>
            <w:sz w:val="24"/>
            <w:szCs w:val="24"/>
          </w:rPr>
          <w:tab/>
        </w:r>
        <w:r w:rsidRPr="007C28EE">
          <w:rPr>
            <w:rStyle w:val="Hyperlink"/>
            <w:noProof/>
            <w:sz w:val="24"/>
            <w:szCs w:val="24"/>
          </w:rPr>
          <w:t>Introduction</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_Toc128052072 \h </w:instrText>
        </w:r>
        <w:r w:rsidRPr="007C28EE">
          <w:rPr>
            <w:noProof/>
            <w:webHidden/>
            <w:sz w:val="24"/>
            <w:szCs w:val="24"/>
          </w:rPr>
        </w:r>
        <w:r w:rsidRPr="007C28EE">
          <w:rPr>
            <w:noProof/>
            <w:webHidden/>
            <w:sz w:val="24"/>
            <w:szCs w:val="24"/>
          </w:rPr>
          <w:fldChar w:fldCharType="separate"/>
        </w:r>
        <w:r w:rsidRPr="007C28EE">
          <w:rPr>
            <w:noProof/>
            <w:webHidden/>
            <w:sz w:val="24"/>
            <w:szCs w:val="24"/>
          </w:rPr>
          <w:t>4</w:t>
        </w:r>
        <w:r w:rsidRPr="007C28EE">
          <w:rPr>
            <w:noProof/>
            <w:webHidden/>
            <w:sz w:val="24"/>
            <w:szCs w:val="24"/>
          </w:rPr>
          <w:fldChar w:fldCharType="end"/>
        </w:r>
      </w:hyperlink>
    </w:p>
    <w:p w14:paraId="08C9DC76" w14:textId="77777777" w:rsidR="009C26C6" w:rsidRPr="007C28EE" w:rsidRDefault="009C26C6" w:rsidP="009C26C6">
      <w:pPr>
        <w:pStyle w:val="TOC1"/>
        <w:tabs>
          <w:tab w:val="left" w:pos="567"/>
          <w:tab w:val="right" w:pos="9854"/>
        </w:tabs>
        <w:rPr>
          <w:noProof/>
          <w:sz w:val="24"/>
          <w:szCs w:val="24"/>
        </w:rPr>
      </w:pPr>
      <w:hyperlink w:anchor="_Toc128052073" w:history="1">
        <w:r w:rsidRPr="007C28EE">
          <w:rPr>
            <w:rStyle w:val="Hyperlink"/>
            <w:noProof/>
            <w:sz w:val="24"/>
            <w:szCs w:val="24"/>
          </w:rPr>
          <w:t>3.</w:t>
        </w:r>
        <w:r w:rsidRPr="007C28EE">
          <w:rPr>
            <w:noProof/>
            <w:sz w:val="24"/>
            <w:szCs w:val="24"/>
          </w:rPr>
          <w:tab/>
        </w:r>
        <w:r w:rsidRPr="007C28EE">
          <w:rPr>
            <w:rStyle w:val="Hyperlink"/>
            <w:noProof/>
            <w:sz w:val="24"/>
            <w:szCs w:val="24"/>
          </w:rPr>
          <w:t>Equality and Diversity</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_Toc128052073 \h </w:instrText>
        </w:r>
        <w:r w:rsidRPr="007C28EE">
          <w:rPr>
            <w:noProof/>
            <w:webHidden/>
            <w:sz w:val="24"/>
            <w:szCs w:val="24"/>
          </w:rPr>
        </w:r>
        <w:r w:rsidRPr="007C28EE">
          <w:rPr>
            <w:noProof/>
            <w:webHidden/>
            <w:sz w:val="24"/>
            <w:szCs w:val="24"/>
          </w:rPr>
          <w:fldChar w:fldCharType="separate"/>
        </w:r>
        <w:r w:rsidRPr="007C28EE">
          <w:rPr>
            <w:noProof/>
            <w:webHidden/>
            <w:sz w:val="24"/>
            <w:szCs w:val="24"/>
          </w:rPr>
          <w:t>5</w:t>
        </w:r>
        <w:r w:rsidRPr="007C28EE">
          <w:rPr>
            <w:noProof/>
            <w:webHidden/>
            <w:sz w:val="24"/>
            <w:szCs w:val="24"/>
          </w:rPr>
          <w:fldChar w:fldCharType="end"/>
        </w:r>
      </w:hyperlink>
    </w:p>
    <w:p w14:paraId="431B5ED4" w14:textId="77777777" w:rsidR="009C26C6" w:rsidRPr="007C28EE" w:rsidRDefault="009C26C6" w:rsidP="009C26C6">
      <w:pPr>
        <w:pStyle w:val="TOC1"/>
        <w:tabs>
          <w:tab w:val="left" w:pos="567"/>
          <w:tab w:val="right" w:pos="9854"/>
        </w:tabs>
        <w:rPr>
          <w:noProof/>
          <w:sz w:val="24"/>
          <w:szCs w:val="24"/>
        </w:rPr>
      </w:pPr>
      <w:hyperlink w:anchor="_Toc128052074" w:history="1">
        <w:r w:rsidRPr="007C28EE">
          <w:rPr>
            <w:rStyle w:val="Hyperlink"/>
            <w:noProof/>
            <w:sz w:val="24"/>
            <w:szCs w:val="24"/>
          </w:rPr>
          <w:t>4.</w:t>
        </w:r>
        <w:r w:rsidRPr="007C28EE">
          <w:rPr>
            <w:noProof/>
            <w:sz w:val="24"/>
            <w:szCs w:val="24"/>
          </w:rPr>
          <w:tab/>
        </w:r>
        <w:r w:rsidRPr="007C28EE">
          <w:rPr>
            <w:rStyle w:val="Hyperlink"/>
            <w:noProof/>
            <w:sz w:val="24"/>
            <w:szCs w:val="24"/>
          </w:rPr>
          <w:t>Informal Action</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_Toc128052074 \h </w:instrText>
        </w:r>
        <w:r w:rsidRPr="007C28EE">
          <w:rPr>
            <w:noProof/>
            <w:webHidden/>
            <w:sz w:val="24"/>
            <w:szCs w:val="24"/>
          </w:rPr>
        </w:r>
        <w:r w:rsidRPr="007C28EE">
          <w:rPr>
            <w:noProof/>
            <w:webHidden/>
            <w:sz w:val="24"/>
            <w:szCs w:val="24"/>
          </w:rPr>
          <w:fldChar w:fldCharType="separate"/>
        </w:r>
        <w:r w:rsidRPr="007C28EE">
          <w:rPr>
            <w:noProof/>
            <w:webHidden/>
            <w:sz w:val="24"/>
            <w:szCs w:val="24"/>
          </w:rPr>
          <w:t>5</w:t>
        </w:r>
        <w:r w:rsidRPr="007C28EE">
          <w:rPr>
            <w:noProof/>
            <w:webHidden/>
            <w:sz w:val="24"/>
            <w:szCs w:val="24"/>
          </w:rPr>
          <w:fldChar w:fldCharType="end"/>
        </w:r>
      </w:hyperlink>
    </w:p>
    <w:p w14:paraId="0C11BB31" w14:textId="77777777" w:rsidR="009C26C6" w:rsidRPr="007C28EE" w:rsidRDefault="009C26C6" w:rsidP="009C26C6">
      <w:pPr>
        <w:pStyle w:val="TOC1"/>
        <w:tabs>
          <w:tab w:val="left" w:pos="567"/>
          <w:tab w:val="right" w:pos="9854"/>
        </w:tabs>
        <w:rPr>
          <w:noProof/>
          <w:sz w:val="24"/>
          <w:szCs w:val="24"/>
        </w:rPr>
      </w:pPr>
      <w:hyperlink w:anchor="_Toc128052075" w:history="1">
        <w:r w:rsidRPr="007C28EE">
          <w:rPr>
            <w:rStyle w:val="Hyperlink"/>
            <w:noProof/>
            <w:sz w:val="24"/>
            <w:szCs w:val="24"/>
          </w:rPr>
          <w:t>5.</w:t>
        </w:r>
        <w:r w:rsidRPr="007C28EE">
          <w:rPr>
            <w:noProof/>
            <w:sz w:val="24"/>
            <w:szCs w:val="24"/>
          </w:rPr>
          <w:tab/>
        </w:r>
        <w:r w:rsidRPr="007C28EE">
          <w:rPr>
            <w:rStyle w:val="Hyperlink"/>
            <w:noProof/>
            <w:sz w:val="24"/>
            <w:szCs w:val="24"/>
          </w:rPr>
          <w:t>Disciplinary Hearing</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_Toc128052075 \h </w:instrText>
        </w:r>
        <w:r w:rsidRPr="007C28EE">
          <w:rPr>
            <w:noProof/>
            <w:webHidden/>
            <w:sz w:val="24"/>
            <w:szCs w:val="24"/>
          </w:rPr>
        </w:r>
        <w:r w:rsidRPr="007C28EE">
          <w:rPr>
            <w:noProof/>
            <w:webHidden/>
            <w:sz w:val="24"/>
            <w:szCs w:val="24"/>
          </w:rPr>
          <w:fldChar w:fldCharType="separate"/>
        </w:r>
        <w:r w:rsidRPr="007C28EE">
          <w:rPr>
            <w:noProof/>
            <w:webHidden/>
            <w:sz w:val="24"/>
            <w:szCs w:val="24"/>
          </w:rPr>
          <w:t>5</w:t>
        </w:r>
        <w:r w:rsidRPr="007C28EE">
          <w:rPr>
            <w:noProof/>
            <w:webHidden/>
            <w:sz w:val="24"/>
            <w:szCs w:val="24"/>
          </w:rPr>
          <w:fldChar w:fldCharType="end"/>
        </w:r>
      </w:hyperlink>
    </w:p>
    <w:p w14:paraId="1F4707EA" w14:textId="77777777" w:rsidR="009C26C6" w:rsidRPr="007C28EE" w:rsidRDefault="009C26C6" w:rsidP="009C26C6">
      <w:pPr>
        <w:pStyle w:val="TOC1"/>
        <w:tabs>
          <w:tab w:val="left" w:pos="567"/>
          <w:tab w:val="right" w:pos="9854"/>
        </w:tabs>
        <w:rPr>
          <w:noProof/>
          <w:sz w:val="24"/>
          <w:szCs w:val="24"/>
        </w:rPr>
      </w:pPr>
      <w:hyperlink w:anchor="_Toc128052076" w:history="1">
        <w:r w:rsidRPr="007C28EE">
          <w:rPr>
            <w:rStyle w:val="Hyperlink"/>
            <w:noProof/>
            <w:sz w:val="24"/>
            <w:szCs w:val="24"/>
          </w:rPr>
          <w:t>6.</w:t>
        </w:r>
        <w:r w:rsidRPr="007C28EE">
          <w:rPr>
            <w:noProof/>
            <w:sz w:val="24"/>
            <w:szCs w:val="24"/>
          </w:rPr>
          <w:tab/>
        </w:r>
        <w:r w:rsidRPr="007C28EE">
          <w:rPr>
            <w:rStyle w:val="Hyperlink"/>
            <w:noProof/>
            <w:sz w:val="24"/>
            <w:szCs w:val="24"/>
          </w:rPr>
          <w:t>Formal Disciplinary Action</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_Toc128052076 \h </w:instrText>
        </w:r>
        <w:r w:rsidRPr="007C28EE">
          <w:rPr>
            <w:noProof/>
            <w:webHidden/>
            <w:sz w:val="24"/>
            <w:szCs w:val="24"/>
          </w:rPr>
        </w:r>
        <w:r w:rsidRPr="007C28EE">
          <w:rPr>
            <w:noProof/>
            <w:webHidden/>
            <w:sz w:val="24"/>
            <w:szCs w:val="24"/>
          </w:rPr>
          <w:fldChar w:fldCharType="separate"/>
        </w:r>
        <w:r w:rsidRPr="007C28EE">
          <w:rPr>
            <w:noProof/>
            <w:webHidden/>
            <w:sz w:val="24"/>
            <w:szCs w:val="24"/>
          </w:rPr>
          <w:t>6</w:t>
        </w:r>
        <w:r w:rsidRPr="007C28EE">
          <w:rPr>
            <w:noProof/>
            <w:webHidden/>
            <w:sz w:val="24"/>
            <w:szCs w:val="24"/>
          </w:rPr>
          <w:fldChar w:fldCharType="end"/>
        </w:r>
      </w:hyperlink>
    </w:p>
    <w:p w14:paraId="03076FEE" w14:textId="77777777" w:rsidR="009C26C6" w:rsidRPr="007C28EE" w:rsidRDefault="009C26C6" w:rsidP="009C26C6">
      <w:pPr>
        <w:pStyle w:val="TOC1"/>
        <w:tabs>
          <w:tab w:val="left" w:pos="567"/>
          <w:tab w:val="right" w:pos="9854"/>
        </w:tabs>
        <w:rPr>
          <w:noProof/>
          <w:sz w:val="24"/>
          <w:szCs w:val="24"/>
        </w:rPr>
      </w:pPr>
      <w:hyperlink w:anchor="_Toc128052077" w:history="1">
        <w:r w:rsidRPr="007C28EE">
          <w:rPr>
            <w:rStyle w:val="Hyperlink"/>
            <w:noProof/>
            <w:sz w:val="24"/>
            <w:szCs w:val="24"/>
          </w:rPr>
          <w:t>7.</w:t>
        </w:r>
        <w:r w:rsidRPr="007C28EE">
          <w:rPr>
            <w:noProof/>
            <w:sz w:val="24"/>
            <w:szCs w:val="24"/>
          </w:rPr>
          <w:tab/>
        </w:r>
        <w:r w:rsidRPr="007C28EE">
          <w:rPr>
            <w:rStyle w:val="Hyperlink"/>
            <w:noProof/>
            <w:sz w:val="24"/>
            <w:szCs w:val="24"/>
          </w:rPr>
          <w:t>Gross Misconduct</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_Toc128052077 \h </w:instrText>
        </w:r>
        <w:r w:rsidRPr="007C28EE">
          <w:rPr>
            <w:noProof/>
            <w:webHidden/>
            <w:sz w:val="24"/>
            <w:szCs w:val="24"/>
          </w:rPr>
        </w:r>
        <w:r w:rsidRPr="007C28EE">
          <w:rPr>
            <w:noProof/>
            <w:webHidden/>
            <w:sz w:val="24"/>
            <w:szCs w:val="24"/>
          </w:rPr>
          <w:fldChar w:fldCharType="separate"/>
        </w:r>
        <w:r w:rsidRPr="007C28EE">
          <w:rPr>
            <w:noProof/>
            <w:webHidden/>
            <w:sz w:val="24"/>
            <w:szCs w:val="24"/>
          </w:rPr>
          <w:t>7</w:t>
        </w:r>
        <w:r w:rsidRPr="007C28EE">
          <w:rPr>
            <w:noProof/>
            <w:webHidden/>
            <w:sz w:val="24"/>
            <w:szCs w:val="24"/>
          </w:rPr>
          <w:fldChar w:fldCharType="end"/>
        </w:r>
      </w:hyperlink>
    </w:p>
    <w:p w14:paraId="4F5DC1B8" w14:textId="77777777" w:rsidR="009C26C6" w:rsidRPr="007C28EE" w:rsidRDefault="009C26C6" w:rsidP="009C26C6">
      <w:pPr>
        <w:pStyle w:val="TOC1"/>
        <w:tabs>
          <w:tab w:val="left" w:pos="567"/>
          <w:tab w:val="right" w:pos="9854"/>
        </w:tabs>
        <w:rPr>
          <w:noProof/>
          <w:sz w:val="24"/>
          <w:szCs w:val="24"/>
        </w:rPr>
      </w:pPr>
      <w:hyperlink w:anchor="_Toc128052078" w:history="1">
        <w:r w:rsidRPr="007C28EE">
          <w:rPr>
            <w:rStyle w:val="Hyperlink"/>
            <w:noProof/>
            <w:sz w:val="24"/>
            <w:szCs w:val="24"/>
          </w:rPr>
          <w:t>8.</w:t>
        </w:r>
        <w:r w:rsidRPr="007C28EE">
          <w:rPr>
            <w:noProof/>
            <w:sz w:val="24"/>
            <w:szCs w:val="24"/>
          </w:rPr>
          <w:tab/>
        </w:r>
        <w:r w:rsidRPr="007C28EE">
          <w:rPr>
            <w:rStyle w:val="Hyperlink"/>
            <w:noProof/>
            <w:sz w:val="24"/>
            <w:szCs w:val="24"/>
          </w:rPr>
          <w:t>Right of Appeal</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_Toc128052078 \h </w:instrText>
        </w:r>
        <w:r w:rsidRPr="007C28EE">
          <w:rPr>
            <w:noProof/>
            <w:webHidden/>
            <w:sz w:val="24"/>
            <w:szCs w:val="24"/>
          </w:rPr>
        </w:r>
        <w:r w:rsidRPr="007C28EE">
          <w:rPr>
            <w:noProof/>
            <w:webHidden/>
            <w:sz w:val="24"/>
            <w:szCs w:val="24"/>
          </w:rPr>
          <w:fldChar w:fldCharType="separate"/>
        </w:r>
        <w:r w:rsidRPr="007C28EE">
          <w:rPr>
            <w:noProof/>
            <w:webHidden/>
            <w:sz w:val="24"/>
            <w:szCs w:val="24"/>
          </w:rPr>
          <w:t>7</w:t>
        </w:r>
        <w:r w:rsidRPr="007C28EE">
          <w:rPr>
            <w:noProof/>
            <w:webHidden/>
            <w:sz w:val="24"/>
            <w:szCs w:val="24"/>
          </w:rPr>
          <w:fldChar w:fldCharType="end"/>
        </w:r>
      </w:hyperlink>
    </w:p>
    <w:p w14:paraId="5ADD9BE4" w14:textId="77777777" w:rsidR="009C26C6" w:rsidRPr="007C28EE" w:rsidRDefault="009C26C6" w:rsidP="009C26C6">
      <w:pPr>
        <w:pStyle w:val="TOC1"/>
        <w:tabs>
          <w:tab w:val="left" w:pos="567"/>
          <w:tab w:val="right" w:pos="9854"/>
        </w:tabs>
        <w:rPr>
          <w:noProof/>
          <w:sz w:val="24"/>
          <w:szCs w:val="24"/>
        </w:rPr>
      </w:pPr>
      <w:hyperlink w:anchor="_Toc128052079" w:history="1">
        <w:r w:rsidRPr="007C28EE">
          <w:rPr>
            <w:rStyle w:val="Hyperlink"/>
            <w:noProof/>
            <w:sz w:val="24"/>
            <w:szCs w:val="24"/>
          </w:rPr>
          <w:t>9.</w:t>
        </w:r>
        <w:r w:rsidRPr="007C28EE">
          <w:rPr>
            <w:noProof/>
            <w:sz w:val="24"/>
            <w:szCs w:val="24"/>
          </w:rPr>
          <w:tab/>
        </w:r>
        <w:r w:rsidRPr="007C28EE">
          <w:rPr>
            <w:rStyle w:val="Hyperlink"/>
            <w:noProof/>
            <w:sz w:val="24"/>
            <w:szCs w:val="24"/>
          </w:rPr>
          <w:t>Variation in Disciplinary Action</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_Toc128052079 \h </w:instrText>
        </w:r>
        <w:r w:rsidRPr="007C28EE">
          <w:rPr>
            <w:noProof/>
            <w:webHidden/>
            <w:sz w:val="24"/>
            <w:szCs w:val="24"/>
          </w:rPr>
        </w:r>
        <w:r w:rsidRPr="007C28EE">
          <w:rPr>
            <w:noProof/>
            <w:webHidden/>
            <w:sz w:val="24"/>
            <w:szCs w:val="24"/>
          </w:rPr>
          <w:fldChar w:fldCharType="separate"/>
        </w:r>
        <w:r w:rsidRPr="007C28EE">
          <w:rPr>
            <w:noProof/>
            <w:webHidden/>
            <w:sz w:val="24"/>
            <w:szCs w:val="24"/>
          </w:rPr>
          <w:t>8</w:t>
        </w:r>
        <w:r w:rsidRPr="007C28EE">
          <w:rPr>
            <w:noProof/>
            <w:webHidden/>
            <w:sz w:val="24"/>
            <w:szCs w:val="24"/>
          </w:rPr>
          <w:fldChar w:fldCharType="end"/>
        </w:r>
      </w:hyperlink>
    </w:p>
    <w:p w14:paraId="02B267D4" w14:textId="77777777" w:rsidR="009C26C6" w:rsidRPr="007C28EE" w:rsidRDefault="009C26C6" w:rsidP="009C26C6">
      <w:pPr>
        <w:pStyle w:val="TOC1"/>
        <w:tabs>
          <w:tab w:val="left" w:pos="567"/>
          <w:tab w:val="left" w:pos="660"/>
          <w:tab w:val="right" w:pos="9854"/>
        </w:tabs>
        <w:rPr>
          <w:noProof/>
          <w:sz w:val="24"/>
          <w:szCs w:val="24"/>
        </w:rPr>
      </w:pPr>
      <w:hyperlink w:anchor="_Toc128052080" w:history="1">
        <w:r w:rsidRPr="007C28EE">
          <w:rPr>
            <w:rStyle w:val="Hyperlink"/>
            <w:noProof/>
            <w:sz w:val="24"/>
            <w:szCs w:val="24"/>
          </w:rPr>
          <w:t>10.</w:t>
        </w:r>
        <w:r w:rsidRPr="007C28EE">
          <w:rPr>
            <w:noProof/>
            <w:sz w:val="24"/>
            <w:szCs w:val="24"/>
          </w:rPr>
          <w:tab/>
        </w:r>
        <w:r w:rsidRPr="007C28EE">
          <w:rPr>
            <w:rStyle w:val="Hyperlink"/>
            <w:noProof/>
            <w:sz w:val="24"/>
            <w:szCs w:val="24"/>
          </w:rPr>
          <w:t>Trade Union Representatives</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_Toc128052080 \h </w:instrText>
        </w:r>
        <w:r w:rsidRPr="007C28EE">
          <w:rPr>
            <w:noProof/>
            <w:webHidden/>
            <w:sz w:val="24"/>
            <w:szCs w:val="24"/>
          </w:rPr>
        </w:r>
        <w:r w:rsidRPr="007C28EE">
          <w:rPr>
            <w:noProof/>
            <w:webHidden/>
            <w:sz w:val="24"/>
            <w:szCs w:val="24"/>
          </w:rPr>
          <w:fldChar w:fldCharType="separate"/>
        </w:r>
        <w:r w:rsidRPr="007C28EE">
          <w:rPr>
            <w:noProof/>
            <w:webHidden/>
            <w:sz w:val="24"/>
            <w:szCs w:val="24"/>
          </w:rPr>
          <w:t>8</w:t>
        </w:r>
        <w:r w:rsidRPr="007C28EE">
          <w:rPr>
            <w:noProof/>
            <w:webHidden/>
            <w:sz w:val="24"/>
            <w:szCs w:val="24"/>
          </w:rPr>
          <w:fldChar w:fldCharType="end"/>
        </w:r>
      </w:hyperlink>
    </w:p>
    <w:p w14:paraId="1145D602" w14:textId="77777777" w:rsidR="009C26C6" w:rsidRPr="007C28EE" w:rsidRDefault="009C26C6" w:rsidP="009C26C6">
      <w:pPr>
        <w:pStyle w:val="TOC1"/>
        <w:tabs>
          <w:tab w:val="left" w:pos="567"/>
          <w:tab w:val="left" w:pos="660"/>
          <w:tab w:val="right" w:pos="9854"/>
        </w:tabs>
        <w:rPr>
          <w:noProof/>
          <w:sz w:val="24"/>
          <w:szCs w:val="24"/>
        </w:rPr>
      </w:pPr>
      <w:hyperlink w:anchor="_Toc128052081" w:history="1">
        <w:r w:rsidRPr="007C28EE">
          <w:rPr>
            <w:rStyle w:val="Hyperlink"/>
            <w:noProof/>
            <w:sz w:val="24"/>
            <w:szCs w:val="24"/>
          </w:rPr>
          <w:t>11.</w:t>
        </w:r>
        <w:r w:rsidRPr="007C28EE">
          <w:rPr>
            <w:noProof/>
            <w:sz w:val="24"/>
            <w:szCs w:val="24"/>
          </w:rPr>
          <w:tab/>
        </w:r>
        <w:r w:rsidRPr="007C28EE">
          <w:rPr>
            <w:rStyle w:val="Hyperlink"/>
            <w:noProof/>
            <w:sz w:val="24"/>
            <w:szCs w:val="24"/>
          </w:rPr>
          <w:t>Confidentiality</w:t>
        </w:r>
        <w:r w:rsidRPr="007C28EE">
          <w:rPr>
            <w:noProof/>
            <w:webHidden/>
            <w:sz w:val="24"/>
            <w:szCs w:val="24"/>
          </w:rPr>
          <w:tab/>
        </w:r>
        <w:r w:rsidRPr="007C28EE">
          <w:rPr>
            <w:noProof/>
            <w:webHidden/>
            <w:sz w:val="24"/>
            <w:szCs w:val="24"/>
          </w:rPr>
          <w:fldChar w:fldCharType="begin"/>
        </w:r>
        <w:r w:rsidRPr="007C28EE">
          <w:rPr>
            <w:noProof/>
            <w:webHidden/>
            <w:sz w:val="24"/>
            <w:szCs w:val="24"/>
          </w:rPr>
          <w:instrText xml:space="preserve"> PAGEREF _Toc128052081 \h </w:instrText>
        </w:r>
        <w:r w:rsidRPr="007C28EE">
          <w:rPr>
            <w:noProof/>
            <w:webHidden/>
            <w:sz w:val="24"/>
            <w:szCs w:val="24"/>
          </w:rPr>
        </w:r>
        <w:r w:rsidRPr="007C28EE">
          <w:rPr>
            <w:noProof/>
            <w:webHidden/>
            <w:sz w:val="24"/>
            <w:szCs w:val="24"/>
          </w:rPr>
          <w:fldChar w:fldCharType="separate"/>
        </w:r>
        <w:r w:rsidRPr="007C28EE">
          <w:rPr>
            <w:noProof/>
            <w:webHidden/>
            <w:sz w:val="24"/>
            <w:szCs w:val="24"/>
          </w:rPr>
          <w:t>8</w:t>
        </w:r>
        <w:r w:rsidRPr="007C28EE">
          <w:rPr>
            <w:noProof/>
            <w:webHidden/>
            <w:sz w:val="24"/>
            <w:szCs w:val="24"/>
          </w:rPr>
          <w:fldChar w:fldCharType="end"/>
        </w:r>
      </w:hyperlink>
    </w:p>
    <w:p w14:paraId="3F2FC1BA" w14:textId="77777777" w:rsidR="009C26C6" w:rsidRPr="007C28EE" w:rsidRDefault="009C26C6" w:rsidP="009C26C6">
      <w:pPr>
        <w:pStyle w:val="EPMTextstyle"/>
        <w:rPr>
          <w:rFonts w:asciiTheme="minorHAnsi" w:hAnsiTheme="minorHAnsi" w:cstheme="minorHAnsi"/>
          <w:sz w:val="24"/>
          <w:szCs w:val="24"/>
        </w:rPr>
      </w:pPr>
      <w:r w:rsidRPr="007C28EE">
        <w:rPr>
          <w:rFonts w:asciiTheme="minorHAnsi" w:hAnsiTheme="minorHAnsi" w:cstheme="minorHAnsi"/>
          <w:sz w:val="24"/>
          <w:szCs w:val="24"/>
        </w:rPr>
        <w:fldChar w:fldCharType="end"/>
      </w:r>
      <w:r w:rsidRPr="007C28EE">
        <w:rPr>
          <w:rFonts w:asciiTheme="minorHAnsi" w:hAnsiTheme="minorHAnsi" w:cstheme="minorHAnsi"/>
          <w:sz w:val="24"/>
          <w:szCs w:val="24"/>
        </w:rPr>
        <w:br w:type="page"/>
      </w:r>
    </w:p>
    <w:p w14:paraId="60E930DC" w14:textId="77777777" w:rsidR="009C26C6" w:rsidRPr="007C28EE" w:rsidRDefault="009C26C6" w:rsidP="009C26C6">
      <w:pPr>
        <w:pStyle w:val="EPMNumberedHeading"/>
        <w:ind w:left="851" w:hanging="851"/>
        <w:rPr>
          <w:rFonts w:asciiTheme="minorHAnsi" w:hAnsiTheme="minorHAnsi" w:cstheme="minorHAnsi"/>
          <w:sz w:val="24"/>
          <w:szCs w:val="24"/>
        </w:rPr>
      </w:pPr>
      <w:bookmarkStart w:id="2" w:name="_Toc128052071"/>
      <w:r w:rsidRPr="007C28EE">
        <w:rPr>
          <w:rStyle w:val="normaltextrun"/>
          <w:rFonts w:asciiTheme="minorHAnsi" w:hAnsiTheme="minorHAnsi" w:cstheme="minorHAnsi"/>
          <w:sz w:val="24"/>
          <w:szCs w:val="24"/>
        </w:rPr>
        <w:lastRenderedPageBreak/>
        <w:t>Terms of Reference</w:t>
      </w:r>
      <w:bookmarkEnd w:id="2"/>
    </w:p>
    <w:p w14:paraId="6D044894" w14:textId="73D6D5B3"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For all employees emp</w:t>
      </w:r>
      <w:r w:rsidR="007C28EE">
        <w:rPr>
          <w:rStyle w:val="normaltextrun"/>
          <w:rFonts w:asciiTheme="minorHAnsi" w:hAnsiTheme="minorHAnsi" w:cstheme="minorHAnsi"/>
          <w:b w:val="0"/>
          <w:bCs w:val="0"/>
        </w:rPr>
        <w:t>loyed by the Governing Body of Spring Meadow Infant and Nursery School.</w:t>
      </w:r>
    </w:p>
    <w:p w14:paraId="58613BBE"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Definitions</w:t>
      </w:r>
      <w:r w:rsidRPr="007C28EE">
        <w:rPr>
          <w:rStyle w:val="eop"/>
          <w:rFonts w:asciiTheme="minorHAnsi" w:hAnsiTheme="minorHAnsi" w:cstheme="minorHAnsi"/>
          <w:b w:val="0"/>
          <w:bCs w:val="0"/>
        </w:rPr>
        <w:t> </w:t>
      </w:r>
    </w:p>
    <w:p w14:paraId="253DCA1B" w14:textId="77777777" w:rsidR="009C26C6" w:rsidRPr="007C28EE" w:rsidRDefault="009C26C6" w:rsidP="009C26C6">
      <w:pPr>
        <w:pStyle w:val="EPMTextstyle"/>
        <w:ind w:left="1701"/>
        <w:rPr>
          <w:rFonts w:asciiTheme="minorHAnsi" w:hAnsiTheme="minorHAnsi" w:cstheme="minorHAnsi"/>
          <w:sz w:val="24"/>
          <w:szCs w:val="24"/>
        </w:rPr>
      </w:pPr>
      <w:r w:rsidRPr="007C28EE">
        <w:rPr>
          <w:rStyle w:val="normaltextrun"/>
          <w:rFonts w:asciiTheme="minorHAnsi" w:hAnsiTheme="minorHAnsi" w:cstheme="minorHAnsi"/>
          <w:b/>
          <w:bCs/>
          <w:sz w:val="24"/>
          <w:szCs w:val="24"/>
        </w:rPr>
        <w:t>Headteacher</w:t>
      </w:r>
      <w:r w:rsidRPr="007C28EE">
        <w:rPr>
          <w:rStyle w:val="normaltextrun"/>
          <w:rFonts w:asciiTheme="minorHAnsi" w:hAnsiTheme="minorHAnsi" w:cstheme="minorHAnsi"/>
          <w:sz w:val="24"/>
          <w:szCs w:val="24"/>
        </w:rPr>
        <w:t xml:space="preserve"> also refers to any other title used to identify the Headteacher where appropriate.</w:t>
      </w:r>
    </w:p>
    <w:p w14:paraId="4E7F3EBB" w14:textId="77777777" w:rsidR="009C26C6" w:rsidRPr="007C28EE" w:rsidRDefault="009C26C6" w:rsidP="009C26C6">
      <w:pPr>
        <w:pStyle w:val="EPMTextstyle"/>
        <w:ind w:left="1701"/>
        <w:rPr>
          <w:rFonts w:asciiTheme="minorHAnsi" w:hAnsiTheme="minorHAnsi" w:cstheme="minorHAnsi"/>
          <w:sz w:val="24"/>
          <w:szCs w:val="24"/>
        </w:rPr>
      </w:pPr>
      <w:r w:rsidRPr="007C28EE">
        <w:rPr>
          <w:rStyle w:val="normaltextrun"/>
          <w:rFonts w:asciiTheme="minorHAnsi" w:hAnsiTheme="minorHAnsi" w:cstheme="minorHAnsi"/>
          <w:b/>
          <w:bCs/>
          <w:sz w:val="24"/>
          <w:szCs w:val="24"/>
        </w:rPr>
        <w:t>Employee</w:t>
      </w:r>
      <w:r w:rsidRPr="007C28EE">
        <w:rPr>
          <w:rStyle w:val="normaltextrun"/>
          <w:rFonts w:asciiTheme="minorHAnsi" w:hAnsiTheme="minorHAnsi" w:cstheme="minorHAnsi"/>
          <w:sz w:val="24"/>
          <w:szCs w:val="24"/>
        </w:rPr>
        <w:t xml:space="preserve"> refers to any employee, teaching and support, employed to work at the School.</w:t>
      </w:r>
    </w:p>
    <w:p w14:paraId="02966C5F" w14:textId="77777777" w:rsidR="009C26C6" w:rsidRPr="007C28EE" w:rsidRDefault="009C26C6" w:rsidP="009C26C6">
      <w:pPr>
        <w:pStyle w:val="EPMTextstyle"/>
        <w:ind w:left="1701"/>
        <w:rPr>
          <w:rFonts w:asciiTheme="minorHAnsi" w:hAnsiTheme="minorHAnsi" w:cstheme="minorHAnsi"/>
          <w:sz w:val="24"/>
          <w:szCs w:val="24"/>
        </w:rPr>
      </w:pPr>
      <w:r w:rsidRPr="007C28EE">
        <w:rPr>
          <w:rStyle w:val="normaltextrun"/>
          <w:rFonts w:asciiTheme="minorHAnsi" w:hAnsiTheme="minorHAnsi" w:cstheme="minorHAnsi"/>
          <w:b/>
          <w:bCs/>
          <w:sz w:val="24"/>
          <w:szCs w:val="24"/>
        </w:rPr>
        <w:t>Senior Manager</w:t>
      </w:r>
      <w:r w:rsidRPr="007C28EE">
        <w:rPr>
          <w:rStyle w:val="normaltextrun"/>
          <w:rFonts w:asciiTheme="minorHAnsi" w:hAnsiTheme="minorHAnsi" w:cstheme="minorHAnsi"/>
          <w:sz w:val="24"/>
          <w:szCs w:val="24"/>
        </w:rPr>
        <w:t xml:space="preserve"> refers to </w:t>
      </w:r>
      <w:r w:rsidRPr="007C28EE">
        <w:rPr>
          <w:rStyle w:val="EPMBracketChar"/>
          <w:rFonts w:asciiTheme="minorHAnsi" w:hAnsiTheme="minorHAnsi" w:cstheme="minorHAnsi"/>
          <w:sz w:val="24"/>
          <w:szCs w:val="24"/>
        </w:rPr>
        <w:t>[insert definition]</w:t>
      </w:r>
      <w:r w:rsidRPr="007C28EE">
        <w:rPr>
          <w:rStyle w:val="normaltextrun"/>
          <w:rFonts w:asciiTheme="minorHAnsi" w:hAnsiTheme="minorHAnsi" w:cstheme="minorHAnsi"/>
          <w:sz w:val="24"/>
          <w:szCs w:val="24"/>
        </w:rPr>
        <w:t xml:space="preserve"> delegated by the Headteacher to deal with a disciplinary matter under this procedure. The senior manager may only make a decision to issue up to and including a final written warning.</w:t>
      </w:r>
      <w:r w:rsidRPr="007C28EE">
        <w:rPr>
          <w:rStyle w:val="eop"/>
          <w:rFonts w:asciiTheme="minorHAnsi" w:hAnsiTheme="minorHAnsi" w:cstheme="minorHAnsi"/>
          <w:sz w:val="24"/>
          <w:szCs w:val="24"/>
        </w:rPr>
        <w:t> </w:t>
      </w:r>
    </w:p>
    <w:p w14:paraId="5FC82338" w14:textId="77777777" w:rsidR="009C26C6" w:rsidRPr="007C28EE" w:rsidRDefault="009C26C6" w:rsidP="009C26C6">
      <w:pPr>
        <w:pStyle w:val="EPMTextstyle"/>
        <w:ind w:left="1701"/>
        <w:rPr>
          <w:rFonts w:asciiTheme="minorHAnsi" w:hAnsiTheme="minorHAnsi" w:cstheme="minorHAnsi"/>
          <w:sz w:val="24"/>
          <w:szCs w:val="24"/>
        </w:rPr>
      </w:pPr>
      <w:r w:rsidRPr="007C28EE">
        <w:rPr>
          <w:rStyle w:val="normaltextrun"/>
          <w:rFonts w:asciiTheme="minorHAnsi" w:hAnsiTheme="minorHAnsi" w:cstheme="minorHAnsi"/>
          <w:b/>
          <w:bCs/>
          <w:sz w:val="24"/>
          <w:szCs w:val="24"/>
        </w:rPr>
        <w:t>Investigating Officer</w:t>
      </w:r>
      <w:r w:rsidRPr="007C28EE">
        <w:rPr>
          <w:rStyle w:val="normaltextrun"/>
          <w:rFonts w:asciiTheme="minorHAnsi" w:hAnsiTheme="minorHAnsi" w:cstheme="minorHAnsi"/>
          <w:sz w:val="24"/>
          <w:szCs w:val="24"/>
        </w:rPr>
        <w:t xml:space="preserve"> refers to a senior manager or an external person appointed by the Headteacher.</w:t>
      </w:r>
      <w:r w:rsidRPr="007C28EE">
        <w:rPr>
          <w:rStyle w:val="eop"/>
          <w:rFonts w:asciiTheme="minorHAnsi" w:hAnsiTheme="minorHAnsi" w:cstheme="minorHAnsi"/>
          <w:sz w:val="24"/>
          <w:szCs w:val="24"/>
        </w:rPr>
        <w:t> </w:t>
      </w:r>
    </w:p>
    <w:p w14:paraId="1BFC09B8" w14:textId="77777777" w:rsidR="009C26C6" w:rsidRPr="007C28EE" w:rsidRDefault="009C26C6" w:rsidP="009C26C6">
      <w:pPr>
        <w:pStyle w:val="EPMTextstyle"/>
        <w:ind w:left="1701"/>
        <w:rPr>
          <w:rFonts w:asciiTheme="minorHAnsi" w:hAnsiTheme="minorHAnsi" w:cstheme="minorHAnsi"/>
          <w:sz w:val="24"/>
          <w:szCs w:val="24"/>
        </w:rPr>
      </w:pPr>
      <w:r w:rsidRPr="007C28EE">
        <w:rPr>
          <w:rStyle w:val="normaltextrun"/>
          <w:rFonts w:asciiTheme="minorHAnsi" w:hAnsiTheme="minorHAnsi" w:cstheme="minorHAnsi"/>
          <w:b/>
          <w:bCs/>
          <w:sz w:val="24"/>
          <w:szCs w:val="24"/>
        </w:rPr>
        <w:t>Companion</w:t>
      </w:r>
      <w:r w:rsidRPr="007C28EE">
        <w:rPr>
          <w:rStyle w:val="normaltextrun"/>
          <w:rFonts w:asciiTheme="minorHAnsi" w:hAnsiTheme="minorHAnsi" w:cstheme="minorHAnsi"/>
          <w:sz w:val="24"/>
          <w:szCs w:val="24"/>
        </w:rPr>
        <w:t xml:space="preserve"> refers to a person chosen by the employee to accompany them, who shall be a trade union representative or a workplace colleague.</w:t>
      </w:r>
      <w:r w:rsidRPr="007C28EE">
        <w:rPr>
          <w:rStyle w:val="eop"/>
          <w:rFonts w:asciiTheme="minorHAnsi" w:hAnsiTheme="minorHAnsi" w:cstheme="minorHAnsi"/>
          <w:sz w:val="24"/>
          <w:szCs w:val="24"/>
        </w:rPr>
        <w:t> </w:t>
      </w:r>
    </w:p>
    <w:p w14:paraId="2F0D9151" w14:textId="77777777" w:rsidR="009C26C6" w:rsidRPr="007C28EE" w:rsidRDefault="009C26C6" w:rsidP="009C26C6">
      <w:pPr>
        <w:pStyle w:val="EPMTextstyle"/>
        <w:ind w:left="1701"/>
        <w:rPr>
          <w:rFonts w:asciiTheme="minorHAnsi" w:hAnsiTheme="minorHAnsi" w:cstheme="minorHAnsi"/>
          <w:sz w:val="24"/>
          <w:szCs w:val="24"/>
        </w:rPr>
      </w:pPr>
      <w:r w:rsidRPr="007C28EE">
        <w:rPr>
          <w:rStyle w:val="normaltextrun"/>
          <w:rFonts w:asciiTheme="minorHAnsi" w:hAnsiTheme="minorHAnsi" w:cstheme="minorHAnsi"/>
          <w:b/>
          <w:bCs/>
          <w:sz w:val="24"/>
          <w:szCs w:val="24"/>
        </w:rPr>
        <w:t>Governors Disciplinary Committee</w:t>
      </w:r>
      <w:r w:rsidRPr="007C28EE">
        <w:rPr>
          <w:rStyle w:val="normaltextrun"/>
          <w:rFonts w:asciiTheme="minorHAnsi" w:hAnsiTheme="minorHAnsi" w:cstheme="minorHAnsi"/>
          <w:sz w:val="24"/>
          <w:szCs w:val="24"/>
        </w:rPr>
        <w:t xml:space="preserve"> may be convened to deal with a case where the Headteacher considers that they must act in the role of the senior manager. In this event, substitute </w:t>
      </w:r>
      <w:r w:rsidRPr="007C28EE">
        <w:rPr>
          <w:rStyle w:val="normaltextrun"/>
          <w:rFonts w:asciiTheme="minorHAnsi" w:hAnsiTheme="minorHAnsi" w:cstheme="minorHAnsi"/>
          <w:b/>
          <w:bCs/>
          <w:sz w:val="24"/>
          <w:szCs w:val="24"/>
        </w:rPr>
        <w:t>Headteacher</w:t>
      </w:r>
      <w:r w:rsidRPr="007C28EE">
        <w:rPr>
          <w:rStyle w:val="normaltextrun"/>
          <w:rFonts w:asciiTheme="minorHAnsi" w:hAnsiTheme="minorHAnsi" w:cstheme="minorHAnsi"/>
          <w:sz w:val="24"/>
          <w:szCs w:val="24"/>
        </w:rPr>
        <w:t xml:space="preserve"> with ‘Governors Disciplinary Committee’ throughout the procedure.</w:t>
      </w:r>
    </w:p>
    <w:p w14:paraId="368C901E" w14:textId="77777777" w:rsidR="009C26C6" w:rsidRPr="007C28EE" w:rsidRDefault="009C26C6" w:rsidP="009C26C6">
      <w:pPr>
        <w:pStyle w:val="EPMTextstyle"/>
        <w:ind w:left="1701"/>
        <w:rPr>
          <w:rFonts w:asciiTheme="minorHAnsi" w:hAnsiTheme="minorHAnsi" w:cstheme="minorHAnsi"/>
          <w:sz w:val="24"/>
          <w:szCs w:val="24"/>
        </w:rPr>
      </w:pPr>
      <w:r w:rsidRPr="007C28EE">
        <w:rPr>
          <w:rStyle w:val="normaltextrun"/>
          <w:rFonts w:asciiTheme="minorHAnsi" w:hAnsiTheme="minorHAnsi" w:cstheme="minorHAnsi"/>
          <w:b/>
          <w:bCs/>
          <w:sz w:val="24"/>
          <w:szCs w:val="24"/>
        </w:rPr>
        <w:t>Governors Appeal Committee</w:t>
      </w:r>
      <w:r w:rsidRPr="007C28EE">
        <w:rPr>
          <w:rStyle w:val="normaltextrun"/>
          <w:rFonts w:asciiTheme="minorHAnsi" w:hAnsiTheme="minorHAnsi" w:cstheme="minorHAnsi"/>
          <w:sz w:val="24"/>
          <w:szCs w:val="24"/>
        </w:rPr>
        <w:t xml:space="preserve"> may be convened to hear an appeal against a written warning or dismissal. Where possible the number of governors on the committee will be equal to, or greater than, the decision-maker/s of the case being appealed.</w:t>
      </w:r>
    </w:p>
    <w:p w14:paraId="49819182" w14:textId="77777777" w:rsidR="009C26C6" w:rsidRPr="007C28EE" w:rsidRDefault="009C26C6" w:rsidP="009C26C6">
      <w:pPr>
        <w:pStyle w:val="EPMNumberedHeading"/>
        <w:ind w:left="851" w:hanging="851"/>
        <w:rPr>
          <w:rFonts w:asciiTheme="minorHAnsi" w:hAnsiTheme="minorHAnsi" w:cstheme="minorHAnsi"/>
          <w:sz w:val="24"/>
          <w:szCs w:val="24"/>
        </w:rPr>
      </w:pPr>
      <w:bookmarkStart w:id="3" w:name="_Toc128052072"/>
      <w:r w:rsidRPr="007C28EE">
        <w:rPr>
          <w:rStyle w:val="normaltextrun"/>
          <w:rFonts w:asciiTheme="minorHAnsi" w:hAnsiTheme="minorHAnsi" w:cstheme="minorHAnsi"/>
          <w:sz w:val="24"/>
          <w:szCs w:val="24"/>
        </w:rPr>
        <w:t>Introduction</w:t>
      </w:r>
      <w:bookmarkEnd w:id="3"/>
    </w:p>
    <w:p w14:paraId="0AB8146D"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This Disciplinary Procedure is designed to help and encourage all employees to achieve and maintain standards of conduct. The aim is to ensure consistent and fair treatment for all in the organisation.</w:t>
      </w:r>
    </w:p>
    <w:p w14:paraId="52F45829"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Examples of the type of conduct that is considered to be misconduct or gross misconduct, which could lead to action under this Disciplinary Procedure, are set out in the Disciplinary Rules which apply to all employees and should be read in conjunction with this procedure.</w:t>
      </w:r>
    </w:p>
    <w:p w14:paraId="02E71070"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This procedure is non-contractual and for guidance only. This procedure applies to all employees. It does not apply to agency workers or contractors.</w:t>
      </w:r>
    </w:p>
    <w:p w14:paraId="756E4F9B"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 xml:space="preserve">This procedure may be implemented at any stage, as set out below, taking into account the alleged misconduct of an employee. Employees will not normally be dismissed for a first act of misconduct unless it is decided that it amounts to gross misconduct </w:t>
      </w:r>
      <w:r w:rsidRPr="007C28EE">
        <w:rPr>
          <w:rStyle w:val="EPMBracketChar"/>
          <w:rFonts w:asciiTheme="minorHAnsi" w:hAnsiTheme="minorHAnsi" w:cstheme="minorHAnsi"/>
          <w:b w:val="0"/>
          <w:bCs w:val="0"/>
          <w:sz w:val="24"/>
          <w:szCs w:val="24"/>
        </w:rPr>
        <w:t>[or the probationary period is not complete]</w:t>
      </w:r>
      <w:r w:rsidRPr="007C28EE">
        <w:rPr>
          <w:rStyle w:val="normaltextrun"/>
          <w:rFonts w:asciiTheme="minorHAnsi" w:hAnsiTheme="minorHAnsi" w:cstheme="minorHAnsi"/>
          <w:b w:val="0"/>
          <w:bCs w:val="0"/>
        </w:rPr>
        <w:t>.</w:t>
      </w:r>
    </w:p>
    <w:p w14:paraId="23F0F2FC"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In cases against the Headteacher, the Chair of Governors or a Committee of Governors has the power to discipline or dismiss the Headteacher in accordance with the procedure set out below. </w:t>
      </w:r>
      <w:r w:rsidRPr="007C28EE">
        <w:rPr>
          <w:rStyle w:val="eop"/>
          <w:rFonts w:asciiTheme="minorHAnsi" w:hAnsiTheme="minorHAnsi" w:cstheme="minorHAnsi"/>
          <w:b w:val="0"/>
          <w:bCs w:val="0"/>
        </w:rPr>
        <w:t> </w:t>
      </w:r>
    </w:p>
    <w:p w14:paraId="6DA679E5" w14:textId="77777777" w:rsidR="009C26C6" w:rsidRPr="007C28EE" w:rsidRDefault="009C26C6" w:rsidP="009C26C6">
      <w:pPr>
        <w:pStyle w:val="EPMNumberedHeading"/>
        <w:ind w:left="851" w:hanging="851"/>
        <w:rPr>
          <w:rFonts w:asciiTheme="minorHAnsi" w:hAnsiTheme="minorHAnsi" w:cstheme="minorHAnsi"/>
          <w:sz w:val="24"/>
          <w:szCs w:val="24"/>
        </w:rPr>
      </w:pPr>
      <w:bookmarkStart w:id="4" w:name="_Toc128052073"/>
      <w:r w:rsidRPr="007C28EE">
        <w:rPr>
          <w:rStyle w:val="normaltextrun"/>
          <w:rFonts w:asciiTheme="minorHAnsi" w:hAnsiTheme="minorHAnsi" w:cstheme="minorHAnsi"/>
          <w:sz w:val="24"/>
          <w:szCs w:val="24"/>
        </w:rPr>
        <w:lastRenderedPageBreak/>
        <w:t>Equality and Diversity</w:t>
      </w:r>
      <w:bookmarkEnd w:id="4"/>
    </w:p>
    <w:p w14:paraId="269F49EB"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The procedure will be operated in accordance with the School’s Equality and Diversity Policy. The School is committed to developing, maintaining and supporting a culture of equality and diversity in employment. The impact of the procedure will be monitored in accordance with the Equality Act 2010.</w:t>
      </w:r>
    </w:p>
    <w:p w14:paraId="47E37C6F" w14:textId="77777777" w:rsidR="009C26C6" w:rsidRPr="007C28EE" w:rsidRDefault="009C26C6" w:rsidP="009C26C6">
      <w:pPr>
        <w:pStyle w:val="EPMHeading2"/>
        <w:rPr>
          <w:rFonts w:asciiTheme="minorHAnsi" w:hAnsiTheme="minorHAnsi" w:cstheme="minorHAnsi"/>
          <w:sz w:val="24"/>
          <w:szCs w:val="24"/>
        </w:rPr>
      </w:pPr>
      <w:r w:rsidRPr="007C28EE">
        <w:rPr>
          <w:rStyle w:val="normaltextrun"/>
          <w:rFonts w:asciiTheme="minorHAnsi" w:hAnsiTheme="minorHAnsi" w:cstheme="minorHAnsi"/>
          <w:sz w:val="24"/>
          <w:szCs w:val="24"/>
        </w:rPr>
        <w:t>Part A – Informal Procedure</w:t>
      </w:r>
    </w:p>
    <w:p w14:paraId="7D2993C6" w14:textId="77777777" w:rsidR="009C26C6" w:rsidRPr="007C28EE" w:rsidRDefault="009C26C6" w:rsidP="009C26C6">
      <w:pPr>
        <w:pStyle w:val="EPMNumberedHeading"/>
        <w:ind w:left="851" w:hanging="851"/>
        <w:rPr>
          <w:rFonts w:asciiTheme="minorHAnsi" w:hAnsiTheme="minorHAnsi" w:cstheme="minorHAnsi"/>
          <w:sz w:val="24"/>
          <w:szCs w:val="24"/>
        </w:rPr>
      </w:pPr>
      <w:bookmarkStart w:id="5" w:name="_Toc128052074"/>
      <w:r w:rsidRPr="007C28EE">
        <w:rPr>
          <w:rStyle w:val="normaltextrun"/>
          <w:rFonts w:asciiTheme="minorHAnsi" w:hAnsiTheme="minorHAnsi" w:cstheme="minorHAnsi"/>
          <w:sz w:val="24"/>
          <w:szCs w:val="24"/>
        </w:rPr>
        <w:t>Informal Action</w:t>
      </w:r>
      <w:bookmarkEnd w:id="5"/>
    </w:p>
    <w:p w14:paraId="3F1710E2" w14:textId="77777777" w:rsidR="009C26C6" w:rsidRPr="007C28EE" w:rsidRDefault="009C26C6" w:rsidP="009C26C6">
      <w:pPr>
        <w:pStyle w:val="EPMNumberedSubheading"/>
        <w:ind w:left="1702" w:hanging="851"/>
        <w:rPr>
          <w:rStyle w:val="eop"/>
          <w:rFonts w:asciiTheme="minorHAnsi" w:hAnsiTheme="minorHAnsi" w:cstheme="minorHAnsi"/>
          <w:b w:val="0"/>
          <w:bCs w:val="0"/>
        </w:rPr>
      </w:pPr>
      <w:r w:rsidRPr="007C28EE">
        <w:rPr>
          <w:rStyle w:val="normaltextrun"/>
          <w:rFonts w:asciiTheme="minorHAnsi" w:hAnsiTheme="minorHAnsi" w:cstheme="minorHAnsi"/>
          <w:b w:val="0"/>
          <w:bCs w:val="0"/>
        </w:rPr>
        <w:t>Managers should seek to resolve minor misconduct informally and as soon as it occurs. Management advice may be given to the employee by a senior manager or a line manager. Action will be taken under the formal procedure set out in Part B below if the matter is not resolved or, there is repeated minor misconduct or, where informal action is not appropriate (for example, because of the seriousness of the allegation).</w:t>
      </w:r>
    </w:p>
    <w:p w14:paraId="72EF94FA"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There is no appeal against management advice given, which will not be placed on the employee’s disciplinary record but should be confirmed in a written memorandum.</w:t>
      </w:r>
      <w:r w:rsidRPr="007C28EE">
        <w:rPr>
          <w:rStyle w:val="eop"/>
          <w:rFonts w:asciiTheme="minorHAnsi" w:hAnsiTheme="minorHAnsi" w:cstheme="minorHAnsi"/>
          <w:b w:val="0"/>
          <w:bCs w:val="0"/>
        </w:rPr>
        <w:t> </w:t>
      </w:r>
    </w:p>
    <w:p w14:paraId="6C3323B8"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The written memorandum will set out the misconduct, the improvement that is required and, if appropriate, how this will be reviewed and during what timeframe. The employee may make a written comment on the memorandum if they have any objection to the informal action taken. A copy of the memorandum or a note of any informal discussions may be placed on the employee’s personnel file.</w:t>
      </w:r>
      <w:r w:rsidRPr="007C28EE">
        <w:rPr>
          <w:rStyle w:val="eop"/>
          <w:rFonts w:asciiTheme="minorHAnsi" w:hAnsiTheme="minorHAnsi" w:cstheme="minorHAnsi"/>
          <w:b w:val="0"/>
          <w:bCs w:val="0"/>
        </w:rPr>
        <w:t> </w:t>
      </w:r>
    </w:p>
    <w:p w14:paraId="00EE2F13" w14:textId="77777777" w:rsidR="009C26C6" w:rsidRPr="007C28EE" w:rsidRDefault="009C26C6" w:rsidP="009C26C6">
      <w:pPr>
        <w:pStyle w:val="EPMHeading2"/>
        <w:rPr>
          <w:rFonts w:asciiTheme="minorHAnsi" w:hAnsiTheme="minorHAnsi" w:cstheme="minorHAnsi"/>
          <w:sz w:val="24"/>
          <w:szCs w:val="24"/>
        </w:rPr>
      </w:pPr>
      <w:r w:rsidRPr="007C28EE">
        <w:rPr>
          <w:rStyle w:val="normaltextrun"/>
          <w:rFonts w:asciiTheme="minorHAnsi" w:hAnsiTheme="minorHAnsi" w:cstheme="minorHAnsi"/>
          <w:sz w:val="24"/>
          <w:szCs w:val="24"/>
        </w:rPr>
        <w:t>Part B – Formal Procedure</w:t>
      </w:r>
    </w:p>
    <w:p w14:paraId="4C90AEAA" w14:textId="77777777" w:rsidR="009C26C6" w:rsidRPr="007C28EE" w:rsidRDefault="009C26C6" w:rsidP="009C26C6">
      <w:pPr>
        <w:pStyle w:val="EPMNumberedHeading"/>
        <w:ind w:left="851" w:hanging="851"/>
        <w:rPr>
          <w:rFonts w:asciiTheme="minorHAnsi" w:hAnsiTheme="minorHAnsi" w:cstheme="minorHAnsi"/>
          <w:sz w:val="24"/>
          <w:szCs w:val="24"/>
        </w:rPr>
      </w:pPr>
      <w:bookmarkStart w:id="6" w:name="_Toc128052075"/>
      <w:r w:rsidRPr="007C28EE">
        <w:rPr>
          <w:rStyle w:val="normaltextrun"/>
          <w:rFonts w:asciiTheme="minorHAnsi" w:hAnsiTheme="minorHAnsi" w:cstheme="minorHAnsi"/>
          <w:sz w:val="24"/>
          <w:szCs w:val="24"/>
        </w:rPr>
        <w:t>Disciplinary Hearing</w:t>
      </w:r>
      <w:bookmarkEnd w:id="6"/>
    </w:p>
    <w:p w14:paraId="65898387" w14:textId="77777777" w:rsidR="009C26C6" w:rsidRPr="007C28EE" w:rsidRDefault="009C26C6" w:rsidP="009C26C6">
      <w:pPr>
        <w:pStyle w:val="EPMNumberedSubheading"/>
        <w:ind w:left="1702" w:hanging="851"/>
        <w:rPr>
          <w:rStyle w:val="normaltextrun"/>
          <w:rFonts w:asciiTheme="minorHAnsi" w:hAnsiTheme="minorHAnsi" w:cstheme="minorHAnsi"/>
          <w:b w:val="0"/>
          <w:bCs w:val="0"/>
        </w:rPr>
      </w:pPr>
      <w:r w:rsidRPr="007C28EE">
        <w:rPr>
          <w:rStyle w:val="normaltextrun"/>
          <w:rFonts w:asciiTheme="minorHAnsi" w:hAnsiTheme="minorHAnsi" w:cstheme="minorHAnsi"/>
          <w:b w:val="0"/>
          <w:bCs w:val="0"/>
        </w:rPr>
        <w:t>If following an appropriate investigation by the Investigating Officer, the senior manager considers on the facts that formal disciplinary action for misconduct is necessary, they will write to the employee to inform them as soon as practicably possible, at least [5/10] working days in advance, setting out:</w:t>
      </w:r>
    </w:p>
    <w:p w14:paraId="6787BA31" w14:textId="77777777" w:rsidR="009C26C6" w:rsidRPr="007C28EE" w:rsidRDefault="009C26C6" w:rsidP="009C26C6">
      <w:pPr>
        <w:pStyle w:val="EPMBullets"/>
        <w:numPr>
          <w:ilvl w:val="0"/>
          <w:numId w:val="35"/>
        </w:numPr>
        <w:ind w:left="2127" w:hanging="426"/>
        <w:rPr>
          <w:rFonts w:asciiTheme="minorHAnsi" w:hAnsiTheme="minorHAnsi" w:cstheme="minorHAnsi"/>
          <w:sz w:val="24"/>
          <w:szCs w:val="24"/>
        </w:rPr>
      </w:pPr>
      <w:r w:rsidRPr="007C28EE">
        <w:rPr>
          <w:rStyle w:val="normaltextrun"/>
          <w:rFonts w:asciiTheme="minorHAnsi" w:hAnsiTheme="minorHAnsi" w:cstheme="minorHAnsi"/>
          <w:sz w:val="24"/>
          <w:szCs w:val="24"/>
        </w:rPr>
        <w:t>The date, time and place of the disciplinary hearing</w:t>
      </w:r>
      <w:r w:rsidRPr="007C28EE">
        <w:rPr>
          <w:rStyle w:val="eop"/>
          <w:rFonts w:asciiTheme="minorHAnsi" w:hAnsiTheme="minorHAnsi" w:cstheme="minorHAnsi"/>
          <w:sz w:val="24"/>
          <w:szCs w:val="24"/>
        </w:rPr>
        <w:t> </w:t>
      </w:r>
    </w:p>
    <w:p w14:paraId="5CFED612" w14:textId="77777777" w:rsidR="009C26C6" w:rsidRPr="007C28EE" w:rsidRDefault="009C26C6" w:rsidP="009C26C6">
      <w:pPr>
        <w:pStyle w:val="EPMBullets"/>
        <w:numPr>
          <w:ilvl w:val="0"/>
          <w:numId w:val="35"/>
        </w:numPr>
        <w:ind w:left="2127" w:hanging="426"/>
        <w:rPr>
          <w:rFonts w:asciiTheme="minorHAnsi" w:hAnsiTheme="minorHAnsi" w:cstheme="minorHAnsi"/>
          <w:sz w:val="24"/>
          <w:szCs w:val="24"/>
        </w:rPr>
      </w:pPr>
      <w:r w:rsidRPr="007C28EE">
        <w:rPr>
          <w:rStyle w:val="normaltextrun"/>
          <w:rFonts w:asciiTheme="minorHAnsi" w:hAnsiTheme="minorHAnsi" w:cstheme="minorHAnsi"/>
          <w:sz w:val="24"/>
          <w:szCs w:val="24"/>
        </w:rPr>
        <w:t>The allegation/s and their possible consequences</w:t>
      </w:r>
      <w:r w:rsidRPr="007C28EE">
        <w:rPr>
          <w:rStyle w:val="eop"/>
          <w:rFonts w:asciiTheme="minorHAnsi" w:hAnsiTheme="minorHAnsi" w:cstheme="minorHAnsi"/>
          <w:sz w:val="24"/>
          <w:szCs w:val="24"/>
        </w:rPr>
        <w:t> </w:t>
      </w:r>
    </w:p>
    <w:p w14:paraId="37675C70" w14:textId="77777777" w:rsidR="009C26C6" w:rsidRPr="007C28EE" w:rsidRDefault="009C26C6" w:rsidP="009C26C6">
      <w:pPr>
        <w:pStyle w:val="EPMBullets"/>
        <w:numPr>
          <w:ilvl w:val="0"/>
          <w:numId w:val="35"/>
        </w:numPr>
        <w:ind w:left="2127" w:hanging="426"/>
        <w:rPr>
          <w:rFonts w:asciiTheme="minorHAnsi" w:hAnsiTheme="minorHAnsi" w:cstheme="minorHAnsi"/>
          <w:sz w:val="24"/>
          <w:szCs w:val="24"/>
        </w:rPr>
      </w:pPr>
      <w:r w:rsidRPr="007C28EE">
        <w:rPr>
          <w:rStyle w:val="normaltextrun"/>
          <w:rFonts w:asciiTheme="minorHAnsi" w:hAnsiTheme="minorHAnsi" w:cstheme="minorHAnsi"/>
          <w:sz w:val="24"/>
          <w:szCs w:val="24"/>
        </w:rPr>
        <w:t>The employee’s right to be accompanied by their companion</w:t>
      </w:r>
      <w:r w:rsidRPr="007C28EE">
        <w:rPr>
          <w:rStyle w:val="eop"/>
          <w:rFonts w:asciiTheme="minorHAnsi" w:hAnsiTheme="minorHAnsi" w:cstheme="minorHAnsi"/>
          <w:sz w:val="24"/>
          <w:szCs w:val="24"/>
        </w:rPr>
        <w:t> </w:t>
      </w:r>
    </w:p>
    <w:p w14:paraId="1351FDBF" w14:textId="77777777" w:rsidR="009C26C6" w:rsidRPr="007C28EE" w:rsidRDefault="009C26C6" w:rsidP="009C26C6">
      <w:pPr>
        <w:pStyle w:val="EPMBullets"/>
        <w:numPr>
          <w:ilvl w:val="0"/>
          <w:numId w:val="35"/>
        </w:numPr>
        <w:ind w:left="2127" w:hanging="426"/>
        <w:rPr>
          <w:rFonts w:asciiTheme="minorHAnsi" w:hAnsiTheme="minorHAnsi" w:cstheme="minorHAnsi"/>
          <w:sz w:val="24"/>
          <w:szCs w:val="24"/>
        </w:rPr>
      </w:pPr>
      <w:r w:rsidRPr="007C28EE">
        <w:rPr>
          <w:rStyle w:val="normaltextrun"/>
          <w:rFonts w:asciiTheme="minorHAnsi" w:hAnsiTheme="minorHAnsi" w:cstheme="minorHAnsi"/>
          <w:sz w:val="24"/>
          <w:szCs w:val="24"/>
        </w:rPr>
        <w:t>The titles of enclosed copies of any documents to be used as evidence</w:t>
      </w:r>
      <w:r w:rsidRPr="007C28EE">
        <w:rPr>
          <w:rStyle w:val="eop"/>
          <w:rFonts w:asciiTheme="minorHAnsi" w:hAnsiTheme="minorHAnsi" w:cstheme="minorHAnsi"/>
          <w:sz w:val="24"/>
          <w:szCs w:val="24"/>
        </w:rPr>
        <w:t> </w:t>
      </w:r>
    </w:p>
    <w:p w14:paraId="4B803FAF" w14:textId="77777777" w:rsidR="009C26C6" w:rsidRPr="007C28EE" w:rsidRDefault="009C26C6" w:rsidP="009C26C6">
      <w:pPr>
        <w:pStyle w:val="EPMBullets"/>
        <w:numPr>
          <w:ilvl w:val="0"/>
          <w:numId w:val="35"/>
        </w:numPr>
        <w:ind w:left="2127" w:hanging="426"/>
        <w:rPr>
          <w:rFonts w:asciiTheme="minorHAnsi" w:hAnsiTheme="minorHAnsi" w:cstheme="minorHAnsi"/>
          <w:sz w:val="24"/>
          <w:szCs w:val="24"/>
        </w:rPr>
      </w:pPr>
      <w:r w:rsidRPr="007C28EE">
        <w:rPr>
          <w:rStyle w:val="normaltextrun"/>
          <w:rFonts w:asciiTheme="minorHAnsi" w:hAnsiTheme="minorHAnsi" w:cstheme="minorHAnsi"/>
          <w:sz w:val="24"/>
          <w:szCs w:val="24"/>
        </w:rPr>
        <w:t>The names of any witnesses to be called by the senior manager</w:t>
      </w:r>
      <w:r w:rsidRPr="007C28EE">
        <w:rPr>
          <w:rStyle w:val="eop"/>
          <w:rFonts w:asciiTheme="minorHAnsi" w:hAnsiTheme="minorHAnsi" w:cstheme="minorHAnsi"/>
          <w:sz w:val="24"/>
          <w:szCs w:val="24"/>
        </w:rPr>
        <w:t> </w:t>
      </w:r>
    </w:p>
    <w:p w14:paraId="1217F85D" w14:textId="77777777" w:rsidR="009C26C6" w:rsidRPr="007C28EE" w:rsidRDefault="009C26C6" w:rsidP="009C26C6">
      <w:pPr>
        <w:pStyle w:val="EPMBullets"/>
        <w:numPr>
          <w:ilvl w:val="0"/>
          <w:numId w:val="35"/>
        </w:numPr>
        <w:ind w:left="2127" w:hanging="426"/>
        <w:rPr>
          <w:rFonts w:asciiTheme="minorHAnsi" w:hAnsiTheme="minorHAnsi" w:cstheme="minorHAnsi"/>
          <w:sz w:val="24"/>
          <w:szCs w:val="24"/>
        </w:rPr>
      </w:pPr>
      <w:r w:rsidRPr="007C28EE">
        <w:rPr>
          <w:rStyle w:val="normaltextrun"/>
          <w:rFonts w:asciiTheme="minorHAnsi" w:hAnsiTheme="minorHAnsi" w:cstheme="minorHAnsi"/>
          <w:sz w:val="24"/>
          <w:szCs w:val="24"/>
        </w:rPr>
        <w:t>Their right to call witnesses on their behalf</w:t>
      </w:r>
      <w:r w:rsidRPr="007C28EE">
        <w:rPr>
          <w:rStyle w:val="eop"/>
          <w:rFonts w:asciiTheme="minorHAnsi" w:hAnsiTheme="minorHAnsi" w:cstheme="minorHAnsi"/>
          <w:sz w:val="24"/>
          <w:szCs w:val="24"/>
        </w:rPr>
        <w:t> </w:t>
      </w:r>
    </w:p>
    <w:p w14:paraId="3C9FCED1" w14:textId="77777777" w:rsidR="009C26C6" w:rsidRPr="007C28EE" w:rsidRDefault="009C26C6" w:rsidP="009C26C6">
      <w:pPr>
        <w:pStyle w:val="EPMBullets"/>
        <w:numPr>
          <w:ilvl w:val="0"/>
          <w:numId w:val="35"/>
        </w:numPr>
        <w:ind w:left="2127" w:hanging="426"/>
        <w:rPr>
          <w:rFonts w:asciiTheme="minorHAnsi" w:hAnsiTheme="minorHAnsi" w:cstheme="minorHAnsi"/>
          <w:sz w:val="24"/>
          <w:szCs w:val="24"/>
        </w:rPr>
      </w:pPr>
      <w:r w:rsidRPr="007C28EE">
        <w:rPr>
          <w:rStyle w:val="normaltextrun"/>
          <w:rFonts w:asciiTheme="minorHAnsi" w:hAnsiTheme="minorHAnsi" w:cstheme="minorHAnsi"/>
          <w:sz w:val="24"/>
          <w:szCs w:val="24"/>
        </w:rPr>
        <w:t>The name and position of any HR adviser who will accompany the senior manager at the hearing</w:t>
      </w:r>
      <w:r w:rsidRPr="007C28EE">
        <w:rPr>
          <w:rStyle w:val="eop"/>
          <w:rFonts w:asciiTheme="minorHAnsi" w:hAnsiTheme="minorHAnsi" w:cstheme="minorHAnsi"/>
          <w:sz w:val="24"/>
          <w:szCs w:val="24"/>
        </w:rPr>
        <w:t> </w:t>
      </w:r>
    </w:p>
    <w:p w14:paraId="59CE0942" w14:textId="77777777" w:rsidR="009C26C6" w:rsidRPr="007C28EE" w:rsidRDefault="009C26C6" w:rsidP="009C26C6">
      <w:pPr>
        <w:pStyle w:val="EPMBullets"/>
        <w:numPr>
          <w:ilvl w:val="0"/>
          <w:numId w:val="35"/>
        </w:numPr>
        <w:ind w:left="2127" w:hanging="426"/>
        <w:rPr>
          <w:rFonts w:asciiTheme="minorHAnsi" w:hAnsiTheme="minorHAnsi" w:cstheme="minorHAnsi"/>
          <w:sz w:val="24"/>
          <w:szCs w:val="24"/>
        </w:rPr>
      </w:pPr>
      <w:r w:rsidRPr="007C28EE">
        <w:rPr>
          <w:rStyle w:val="normaltextrun"/>
          <w:rFonts w:asciiTheme="minorHAnsi" w:hAnsiTheme="minorHAnsi" w:cstheme="minorHAnsi"/>
          <w:sz w:val="24"/>
          <w:szCs w:val="24"/>
        </w:rPr>
        <w:t>The name and position of any note taker</w:t>
      </w:r>
      <w:r w:rsidRPr="007C28EE">
        <w:rPr>
          <w:rStyle w:val="eop"/>
          <w:rFonts w:asciiTheme="minorHAnsi" w:hAnsiTheme="minorHAnsi" w:cstheme="minorHAnsi"/>
          <w:sz w:val="24"/>
          <w:szCs w:val="24"/>
        </w:rPr>
        <w:t> </w:t>
      </w:r>
    </w:p>
    <w:p w14:paraId="504600F1" w14:textId="77777777" w:rsidR="009C26C6" w:rsidRPr="007C28EE" w:rsidRDefault="009C26C6" w:rsidP="009C26C6">
      <w:pPr>
        <w:pStyle w:val="EPMTextstyle"/>
        <w:ind w:left="2127"/>
        <w:rPr>
          <w:rFonts w:asciiTheme="minorHAnsi" w:hAnsiTheme="minorHAnsi" w:cstheme="minorHAnsi"/>
          <w:sz w:val="24"/>
          <w:szCs w:val="24"/>
        </w:rPr>
      </w:pPr>
      <w:r w:rsidRPr="007C28EE">
        <w:rPr>
          <w:rStyle w:val="normaltextrun"/>
          <w:rFonts w:asciiTheme="minorHAnsi" w:hAnsiTheme="minorHAnsi" w:cstheme="minorHAnsi"/>
          <w:sz w:val="24"/>
          <w:szCs w:val="24"/>
        </w:rPr>
        <w:t>(At the employee’s request, an extra copy of this notice, together with any enclosures, should be provided for their companion)</w:t>
      </w:r>
      <w:r w:rsidRPr="007C28EE">
        <w:rPr>
          <w:rStyle w:val="eop"/>
          <w:rFonts w:asciiTheme="minorHAnsi" w:hAnsiTheme="minorHAnsi" w:cstheme="minorHAnsi"/>
          <w:sz w:val="24"/>
          <w:szCs w:val="24"/>
        </w:rPr>
        <w:t> </w:t>
      </w:r>
    </w:p>
    <w:p w14:paraId="289F00D5"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lastRenderedPageBreak/>
        <w:t>The employee must advise the senior manager of the following at least three working days in advance of the hearing:</w:t>
      </w:r>
    </w:p>
    <w:p w14:paraId="76EFB8B4" w14:textId="77777777" w:rsidR="009C26C6" w:rsidRPr="007C28EE" w:rsidRDefault="009C26C6" w:rsidP="009C26C6">
      <w:pPr>
        <w:pStyle w:val="EPMBullets"/>
        <w:numPr>
          <w:ilvl w:val="0"/>
          <w:numId w:val="36"/>
        </w:numPr>
        <w:tabs>
          <w:tab w:val="clear" w:pos="567"/>
        </w:tabs>
        <w:ind w:left="2127" w:hanging="426"/>
        <w:rPr>
          <w:rStyle w:val="normaltextrun"/>
          <w:rFonts w:asciiTheme="minorHAnsi" w:hAnsiTheme="minorHAnsi" w:cstheme="minorHAnsi"/>
          <w:sz w:val="24"/>
          <w:szCs w:val="24"/>
        </w:rPr>
      </w:pPr>
      <w:r w:rsidRPr="007C28EE">
        <w:rPr>
          <w:rStyle w:val="normaltextrun"/>
          <w:rFonts w:asciiTheme="minorHAnsi" w:hAnsiTheme="minorHAnsi" w:cstheme="minorHAnsi"/>
          <w:sz w:val="24"/>
          <w:szCs w:val="24"/>
        </w:rPr>
        <w:t>The name and designation of their companion</w:t>
      </w:r>
    </w:p>
    <w:p w14:paraId="658DBC9C" w14:textId="77777777" w:rsidR="009C26C6" w:rsidRPr="007C28EE" w:rsidRDefault="009C26C6" w:rsidP="009C26C6">
      <w:pPr>
        <w:pStyle w:val="EPMBullets"/>
        <w:numPr>
          <w:ilvl w:val="0"/>
          <w:numId w:val="36"/>
        </w:numPr>
        <w:ind w:left="2127" w:hanging="426"/>
        <w:rPr>
          <w:rStyle w:val="normaltextrun"/>
          <w:rFonts w:asciiTheme="minorHAnsi" w:hAnsiTheme="minorHAnsi" w:cstheme="minorHAnsi"/>
          <w:sz w:val="24"/>
          <w:szCs w:val="24"/>
        </w:rPr>
      </w:pPr>
      <w:r w:rsidRPr="007C28EE">
        <w:rPr>
          <w:rStyle w:val="normaltextrun"/>
          <w:rFonts w:asciiTheme="minorHAnsi" w:hAnsiTheme="minorHAnsi" w:cstheme="minorHAnsi"/>
          <w:sz w:val="24"/>
          <w:szCs w:val="24"/>
        </w:rPr>
        <w:t>Provide any written documentation to be considered</w:t>
      </w:r>
    </w:p>
    <w:p w14:paraId="0989AA2E" w14:textId="77777777" w:rsidR="009C26C6" w:rsidRPr="007C28EE" w:rsidRDefault="009C26C6" w:rsidP="009C26C6">
      <w:pPr>
        <w:pStyle w:val="EPMBullets"/>
        <w:numPr>
          <w:ilvl w:val="0"/>
          <w:numId w:val="36"/>
        </w:numPr>
        <w:ind w:left="2127" w:hanging="426"/>
        <w:rPr>
          <w:rStyle w:val="normaltextrun"/>
          <w:rFonts w:asciiTheme="minorHAnsi" w:hAnsiTheme="minorHAnsi" w:cstheme="minorHAnsi"/>
          <w:sz w:val="24"/>
          <w:szCs w:val="24"/>
        </w:rPr>
      </w:pPr>
      <w:r w:rsidRPr="007C28EE">
        <w:rPr>
          <w:rStyle w:val="normaltextrun"/>
          <w:rFonts w:asciiTheme="minorHAnsi" w:hAnsiTheme="minorHAnsi" w:cstheme="minorHAnsi"/>
          <w:sz w:val="24"/>
          <w:szCs w:val="24"/>
        </w:rPr>
        <w:t>The names of any witnesses at that they wish to call</w:t>
      </w:r>
    </w:p>
    <w:p w14:paraId="015263B5" w14:textId="77777777" w:rsidR="009C26C6" w:rsidRPr="007C28EE" w:rsidRDefault="009C26C6" w:rsidP="009C26C6">
      <w:pPr>
        <w:pStyle w:val="EPMBullets"/>
        <w:numPr>
          <w:ilvl w:val="0"/>
          <w:numId w:val="36"/>
        </w:numPr>
        <w:ind w:left="2127" w:hanging="426"/>
        <w:rPr>
          <w:rStyle w:val="normaltextrun"/>
          <w:rFonts w:asciiTheme="minorHAnsi" w:hAnsiTheme="minorHAnsi" w:cstheme="minorHAnsi"/>
          <w:sz w:val="24"/>
          <w:szCs w:val="24"/>
        </w:rPr>
      </w:pPr>
      <w:r w:rsidRPr="007C28EE">
        <w:rPr>
          <w:rStyle w:val="normaltextrun"/>
          <w:rFonts w:asciiTheme="minorHAnsi" w:hAnsiTheme="minorHAnsi" w:cstheme="minorHAnsi"/>
          <w:sz w:val="24"/>
          <w:szCs w:val="24"/>
        </w:rPr>
        <w:t>Any special requirements (e.g. disability, language requirements)</w:t>
      </w:r>
    </w:p>
    <w:p w14:paraId="50C7C4AF" w14:textId="77777777" w:rsidR="009C26C6" w:rsidRPr="007C28EE" w:rsidRDefault="009C26C6" w:rsidP="009C26C6">
      <w:pPr>
        <w:pStyle w:val="EPMNumberedSubheading"/>
        <w:ind w:left="1702" w:hanging="851"/>
        <w:rPr>
          <w:rStyle w:val="eop"/>
          <w:rFonts w:asciiTheme="minorHAnsi" w:hAnsiTheme="minorHAnsi" w:cstheme="minorHAnsi"/>
          <w:b w:val="0"/>
          <w:bCs w:val="0"/>
        </w:rPr>
      </w:pPr>
      <w:r w:rsidRPr="007C28EE">
        <w:rPr>
          <w:rStyle w:val="normaltextrun"/>
          <w:rFonts w:asciiTheme="minorHAnsi" w:hAnsiTheme="minorHAnsi" w:cstheme="minorHAnsi"/>
          <w:b w:val="0"/>
          <w:bCs w:val="0"/>
        </w:rPr>
        <w:t>At the disciplinary hearing, before the senior manager and their HR Adviser, the employee (and their companion) will be given a reasonable opportunity to state their case, to question the Investigating Officer where possible and any witnesses and, to call any witnesses and raise points about any information provided by witnesses.</w:t>
      </w:r>
    </w:p>
    <w:p w14:paraId="1AD154AE" w14:textId="77777777" w:rsidR="009C26C6" w:rsidRPr="007C28EE" w:rsidRDefault="009C26C6" w:rsidP="009C26C6">
      <w:pPr>
        <w:pStyle w:val="EPMNumberedSubheading"/>
        <w:ind w:left="1702" w:hanging="851"/>
        <w:rPr>
          <w:rStyle w:val="eop"/>
          <w:rFonts w:asciiTheme="minorHAnsi" w:hAnsiTheme="minorHAnsi" w:cstheme="minorHAnsi"/>
          <w:b w:val="0"/>
          <w:bCs w:val="0"/>
        </w:rPr>
      </w:pPr>
      <w:r w:rsidRPr="007C28EE">
        <w:rPr>
          <w:rStyle w:val="normaltextrun"/>
          <w:rFonts w:asciiTheme="minorHAnsi" w:hAnsiTheme="minorHAnsi" w:cstheme="minorHAnsi"/>
          <w:b w:val="0"/>
          <w:bCs w:val="0"/>
        </w:rPr>
        <w:t>Following the hearing, the senior manager will consider the matter and confirm the decision in writing to the employee and their companion as soon as possible and usually within five working days of the hearing, to include:</w:t>
      </w:r>
    </w:p>
    <w:p w14:paraId="6BAA53C0" w14:textId="77777777" w:rsidR="009C26C6" w:rsidRPr="007C28EE" w:rsidRDefault="009C26C6" w:rsidP="009C26C6">
      <w:pPr>
        <w:pStyle w:val="EPMBullets"/>
        <w:numPr>
          <w:ilvl w:val="0"/>
          <w:numId w:val="37"/>
        </w:numPr>
        <w:tabs>
          <w:tab w:val="clear" w:pos="567"/>
        </w:tabs>
        <w:ind w:left="2126" w:hanging="425"/>
        <w:rPr>
          <w:rStyle w:val="normaltextrun"/>
          <w:rFonts w:asciiTheme="minorHAnsi" w:hAnsiTheme="minorHAnsi" w:cstheme="minorHAnsi"/>
          <w:sz w:val="24"/>
          <w:szCs w:val="24"/>
        </w:rPr>
      </w:pPr>
      <w:r w:rsidRPr="007C28EE">
        <w:rPr>
          <w:rStyle w:val="normaltextrun"/>
          <w:rFonts w:asciiTheme="minorHAnsi" w:hAnsiTheme="minorHAnsi" w:cstheme="minorHAnsi"/>
          <w:sz w:val="24"/>
          <w:szCs w:val="24"/>
        </w:rPr>
        <w:t>The sanction (if any) and the period this will remain current</w:t>
      </w:r>
    </w:p>
    <w:p w14:paraId="005BE3F7" w14:textId="77777777" w:rsidR="009C26C6" w:rsidRPr="007C28EE" w:rsidRDefault="009C26C6" w:rsidP="009C26C6">
      <w:pPr>
        <w:pStyle w:val="EPMBullets"/>
        <w:numPr>
          <w:ilvl w:val="0"/>
          <w:numId w:val="37"/>
        </w:numPr>
        <w:tabs>
          <w:tab w:val="clear" w:pos="567"/>
        </w:tabs>
        <w:ind w:left="2126" w:hanging="425"/>
        <w:rPr>
          <w:rStyle w:val="normaltextrun"/>
          <w:rFonts w:asciiTheme="minorHAnsi" w:hAnsiTheme="minorHAnsi" w:cstheme="minorHAnsi"/>
          <w:sz w:val="24"/>
          <w:szCs w:val="24"/>
        </w:rPr>
      </w:pPr>
      <w:r w:rsidRPr="007C28EE">
        <w:rPr>
          <w:rStyle w:val="normaltextrun"/>
          <w:rFonts w:asciiTheme="minorHAnsi" w:hAnsiTheme="minorHAnsi" w:cstheme="minorHAnsi"/>
          <w:sz w:val="24"/>
          <w:szCs w:val="24"/>
        </w:rPr>
        <w:t>Their reasons for the decision</w:t>
      </w:r>
    </w:p>
    <w:p w14:paraId="60452DE8" w14:textId="77777777" w:rsidR="009C26C6" w:rsidRPr="007C28EE" w:rsidRDefault="009C26C6" w:rsidP="009C26C6">
      <w:pPr>
        <w:pStyle w:val="EPMBullets"/>
        <w:numPr>
          <w:ilvl w:val="0"/>
          <w:numId w:val="37"/>
        </w:numPr>
        <w:tabs>
          <w:tab w:val="clear" w:pos="567"/>
        </w:tabs>
        <w:ind w:left="2126" w:hanging="425"/>
        <w:rPr>
          <w:rStyle w:val="normaltextrun"/>
          <w:rFonts w:asciiTheme="minorHAnsi" w:hAnsiTheme="minorHAnsi" w:cstheme="minorHAnsi"/>
          <w:sz w:val="24"/>
          <w:szCs w:val="24"/>
        </w:rPr>
      </w:pPr>
      <w:r w:rsidRPr="007C28EE">
        <w:rPr>
          <w:rStyle w:val="normaltextrun"/>
          <w:rFonts w:asciiTheme="minorHAnsi" w:hAnsiTheme="minorHAnsi" w:cstheme="minorHAnsi"/>
          <w:sz w:val="24"/>
          <w:szCs w:val="24"/>
        </w:rPr>
        <w:t>The change in behaviour required (if relevant) and the likely consequences of further misconduct</w:t>
      </w:r>
    </w:p>
    <w:p w14:paraId="58FEF971" w14:textId="77777777" w:rsidR="009C26C6" w:rsidRPr="007C28EE" w:rsidRDefault="009C26C6" w:rsidP="009C26C6">
      <w:pPr>
        <w:pStyle w:val="EPMBullets"/>
        <w:numPr>
          <w:ilvl w:val="0"/>
          <w:numId w:val="37"/>
        </w:numPr>
        <w:tabs>
          <w:tab w:val="clear" w:pos="567"/>
        </w:tabs>
        <w:ind w:left="2126" w:hanging="425"/>
        <w:rPr>
          <w:rStyle w:val="normaltextrun"/>
          <w:rFonts w:asciiTheme="minorHAnsi" w:hAnsiTheme="minorHAnsi" w:cstheme="minorHAnsi"/>
          <w:sz w:val="24"/>
          <w:szCs w:val="24"/>
        </w:rPr>
      </w:pPr>
      <w:r w:rsidRPr="007C28EE">
        <w:rPr>
          <w:rStyle w:val="normaltextrun"/>
          <w:rFonts w:asciiTheme="minorHAnsi" w:hAnsiTheme="minorHAnsi" w:cstheme="minorHAnsi"/>
          <w:sz w:val="24"/>
          <w:szCs w:val="24"/>
        </w:rPr>
        <w:t>Right of appeal</w:t>
      </w:r>
    </w:p>
    <w:p w14:paraId="48B45C4F" w14:textId="77777777" w:rsidR="009C26C6" w:rsidRPr="007C28EE" w:rsidRDefault="009C26C6" w:rsidP="009C26C6">
      <w:pPr>
        <w:pStyle w:val="EPMNumberedHeading"/>
        <w:ind w:left="851" w:hanging="851"/>
        <w:rPr>
          <w:rStyle w:val="eop"/>
          <w:rFonts w:asciiTheme="minorHAnsi" w:hAnsiTheme="minorHAnsi" w:cstheme="minorHAnsi"/>
          <w:sz w:val="24"/>
          <w:szCs w:val="24"/>
        </w:rPr>
      </w:pPr>
      <w:bookmarkStart w:id="7" w:name="_Toc128052076"/>
      <w:r w:rsidRPr="007C28EE">
        <w:rPr>
          <w:rStyle w:val="normaltextrun"/>
          <w:rFonts w:asciiTheme="minorHAnsi" w:hAnsiTheme="minorHAnsi" w:cstheme="minorHAnsi"/>
          <w:sz w:val="24"/>
          <w:szCs w:val="24"/>
        </w:rPr>
        <w:t>Formal Disciplinary Action</w:t>
      </w:r>
      <w:bookmarkEnd w:id="7"/>
    </w:p>
    <w:p w14:paraId="4A4630FE"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First Written Warning</w:t>
      </w:r>
    </w:p>
    <w:p w14:paraId="01D26881"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The senior manager may give the employee a first written warning, which will include a statement that any further complaint of misconduct occurring within the next twelve months that is found justified after a disciplinary hearing, will lead to a final warning unless there are mitigating circumstances.</w:t>
      </w:r>
    </w:p>
    <w:p w14:paraId="7FFFC35F" w14:textId="77777777" w:rsidR="009C26C6" w:rsidRPr="007C28EE" w:rsidRDefault="009C26C6" w:rsidP="009C26C6">
      <w:pPr>
        <w:pStyle w:val="EPMNumberedsubheading2"/>
        <w:ind w:left="2552" w:hanging="851"/>
        <w:rPr>
          <w:rFonts w:asciiTheme="minorHAnsi" w:hAnsiTheme="minorHAnsi" w:cstheme="minorHAnsi"/>
          <w:b w:val="0"/>
          <w:bCs w:val="0"/>
          <w:sz w:val="24"/>
          <w:szCs w:val="24"/>
        </w:rPr>
      </w:pPr>
      <w:r w:rsidRPr="007C28EE">
        <w:rPr>
          <w:rStyle w:val="normaltextrun"/>
          <w:rFonts w:asciiTheme="minorHAnsi" w:hAnsiTheme="minorHAnsi" w:cstheme="minorHAnsi"/>
          <w:b w:val="0"/>
          <w:bCs w:val="0"/>
          <w:sz w:val="24"/>
          <w:szCs w:val="24"/>
        </w:rPr>
        <w:t>If a further complaint is made about the employee’s conduct before the first written warning has expired, the same procedure (as in 5 above) will be followed.</w:t>
      </w:r>
    </w:p>
    <w:p w14:paraId="11F721A8" w14:textId="77777777" w:rsidR="009C26C6" w:rsidRPr="007C28EE" w:rsidRDefault="009C26C6" w:rsidP="009C26C6">
      <w:pPr>
        <w:pStyle w:val="EPMNumberedsubheading2"/>
        <w:ind w:left="2552" w:hanging="851"/>
        <w:rPr>
          <w:rFonts w:asciiTheme="minorHAnsi" w:hAnsiTheme="minorHAnsi" w:cstheme="minorHAnsi"/>
          <w:b w:val="0"/>
          <w:bCs w:val="0"/>
          <w:sz w:val="24"/>
          <w:szCs w:val="24"/>
        </w:rPr>
      </w:pPr>
      <w:r w:rsidRPr="007C28EE">
        <w:rPr>
          <w:rStyle w:val="normaltextrun"/>
          <w:rFonts w:asciiTheme="minorHAnsi" w:hAnsiTheme="minorHAnsi" w:cstheme="minorHAnsi"/>
          <w:b w:val="0"/>
          <w:bCs w:val="0"/>
          <w:sz w:val="24"/>
          <w:szCs w:val="24"/>
        </w:rPr>
        <w:t>The senior manager may give the employee a final written warning, which will include a statement that any further complaint of misconduct occurring within the next 12 months that is found justified after a disciplinary hearing, will lead to dismissal unless there are mitigating circumstances.</w:t>
      </w:r>
    </w:p>
    <w:p w14:paraId="50D2E41A" w14:textId="77777777" w:rsidR="009C26C6" w:rsidRPr="007C28EE" w:rsidRDefault="009C26C6" w:rsidP="009C26C6">
      <w:pPr>
        <w:pStyle w:val="EPMNumberedSubheading"/>
        <w:ind w:left="1702" w:hanging="851"/>
        <w:rPr>
          <w:rStyle w:val="eop"/>
          <w:rFonts w:asciiTheme="minorHAnsi" w:hAnsiTheme="minorHAnsi" w:cstheme="minorHAnsi"/>
          <w:b w:val="0"/>
          <w:bCs w:val="0"/>
        </w:rPr>
      </w:pPr>
      <w:r w:rsidRPr="007C28EE">
        <w:rPr>
          <w:rStyle w:val="normaltextrun"/>
          <w:rFonts w:asciiTheme="minorHAnsi" w:hAnsiTheme="minorHAnsi" w:cstheme="minorHAnsi"/>
          <w:b w:val="0"/>
          <w:bCs w:val="0"/>
        </w:rPr>
        <w:t>Dismissal</w:t>
      </w:r>
    </w:p>
    <w:p w14:paraId="45858A85" w14:textId="543E184B" w:rsidR="009C26C6" w:rsidRPr="007C28EE" w:rsidRDefault="009C26C6" w:rsidP="009C26C6">
      <w:pPr>
        <w:pStyle w:val="EPMNumberedsubheading2"/>
        <w:ind w:left="2552" w:hanging="851"/>
        <w:rPr>
          <w:rStyle w:val="normaltextrun"/>
          <w:rFonts w:asciiTheme="minorHAnsi" w:hAnsiTheme="minorHAnsi" w:cstheme="minorHAnsi"/>
          <w:b w:val="0"/>
          <w:bCs w:val="0"/>
          <w:sz w:val="24"/>
          <w:szCs w:val="24"/>
        </w:rPr>
      </w:pPr>
      <w:r w:rsidRPr="007C28EE">
        <w:rPr>
          <w:rStyle w:val="normaltextrun"/>
          <w:rFonts w:asciiTheme="minorHAnsi" w:hAnsiTheme="minorHAnsi" w:cstheme="minorHAnsi"/>
          <w:b w:val="0"/>
          <w:bCs w:val="0"/>
          <w:sz w:val="24"/>
          <w:szCs w:val="24"/>
        </w:rPr>
        <w:t>If a further complaint is received before the final written warning has expired, the complaint will be referred to a hearing before the Headteacher following the same procedure as in paragraph 5 above. The Headteacher may be accompanied by an HR Adviser</w:t>
      </w:r>
      <w:r w:rsidR="002B1A1D">
        <w:rPr>
          <w:rStyle w:val="normaltextrun"/>
          <w:rFonts w:asciiTheme="minorHAnsi" w:hAnsiTheme="minorHAnsi" w:cstheme="minorHAnsi"/>
          <w:b w:val="0"/>
          <w:bCs w:val="0"/>
          <w:sz w:val="24"/>
          <w:szCs w:val="24"/>
        </w:rPr>
        <w:t xml:space="preserve"> and a Local Authority Representative may attend.</w:t>
      </w:r>
    </w:p>
    <w:p w14:paraId="5C247C4D" w14:textId="77777777" w:rsidR="009C26C6" w:rsidRPr="007C28EE" w:rsidRDefault="009C26C6" w:rsidP="009C26C6">
      <w:pPr>
        <w:pStyle w:val="EPMNumberedsubheading2"/>
        <w:ind w:left="2552" w:hanging="851"/>
        <w:rPr>
          <w:rFonts w:asciiTheme="minorHAnsi" w:hAnsiTheme="minorHAnsi" w:cstheme="minorHAnsi"/>
          <w:b w:val="0"/>
          <w:bCs w:val="0"/>
          <w:sz w:val="24"/>
          <w:szCs w:val="24"/>
        </w:rPr>
      </w:pPr>
      <w:r w:rsidRPr="007C28EE">
        <w:rPr>
          <w:rStyle w:val="normaltextrun"/>
          <w:rFonts w:asciiTheme="minorHAnsi" w:hAnsiTheme="minorHAnsi" w:cstheme="minorHAnsi"/>
          <w:b w:val="0"/>
          <w:bCs w:val="0"/>
          <w:sz w:val="24"/>
          <w:szCs w:val="24"/>
        </w:rPr>
        <w:lastRenderedPageBreak/>
        <w:t>If the Headteacher decides the complaint is justified, they may decide to dismiss the employee. The Headteacher will state the decision, the reasons and inform the employee of their right to appeal to a Governors Appeal Committee. They will confirm the decision and right of appeal in writing to the employee (and their companion) as soon as possible and normally within five working days of the hearing. The Headteacher will record the outcome of their considerations and the names of persons present at the hearing.</w:t>
      </w:r>
    </w:p>
    <w:p w14:paraId="7EC17E32" w14:textId="5B242B9F" w:rsidR="009C26C6" w:rsidRPr="002B1A1D" w:rsidRDefault="009C26C6" w:rsidP="009C26C6">
      <w:pPr>
        <w:pStyle w:val="EPMNumberedsubheading2"/>
        <w:ind w:left="2552" w:hanging="851"/>
        <w:rPr>
          <w:rFonts w:asciiTheme="minorHAnsi" w:hAnsiTheme="minorHAnsi" w:cstheme="minorHAnsi"/>
          <w:b w:val="0"/>
          <w:bCs w:val="0"/>
          <w:sz w:val="24"/>
          <w:szCs w:val="24"/>
        </w:rPr>
      </w:pPr>
      <w:r w:rsidRPr="002B1A1D">
        <w:rPr>
          <w:rStyle w:val="normaltextrun"/>
          <w:rFonts w:asciiTheme="minorHAnsi" w:hAnsiTheme="minorHAnsi" w:cstheme="minorHAnsi"/>
          <w:b w:val="0"/>
          <w:bCs w:val="0"/>
          <w:sz w:val="24"/>
          <w:szCs w:val="24"/>
        </w:rPr>
        <w:t>The Headteacher will notify the LA in writing that the employee is to be dismissed, whether the decision was with or without notice, or with pay in lieu of notice. The LA is required to give written notice of dismissal to the employee within 14 days of n</w:t>
      </w:r>
      <w:r w:rsidR="002B1A1D" w:rsidRPr="002B1A1D">
        <w:rPr>
          <w:rStyle w:val="normaltextrun"/>
          <w:rFonts w:asciiTheme="minorHAnsi" w:hAnsiTheme="minorHAnsi" w:cstheme="minorHAnsi"/>
          <w:b w:val="0"/>
          <w:bCs w:val="0"/>
          <w:sz w:val="24"/>
          <w:szCs w:val="24"/>
        </w:rPr>
        <w:t>otification by the Headteacher.</w:t>
      </w:r>
    </w:p>
    <w:p w14:paraId="60133767" w14:textId="77777777" w:rsidR="009C26C6" w:rsidRPr="007C28EE" w:rsidRDefault="009C26C6" w:rsidP="009C26C6">
      <w:pPr>
        <w:pStyle w:val="EPMNumberedHeading"/>
        <w:ind w:left="851" w:hanging="851"/>
        <w:rPr>
          <w:rStyle w:val="eop"/>
          <w:rFonts w:asciiTheme="minorHAnsi" w:hAnsiTheme="minorHAnsi" w:cstheme="minorHAnsi"/>
          <w:sz w:val="24"/>
          <w:szCs w:val="24"/>
        </w:rPr>
      </w:pPr>
      <w:bookmarkStart w:id="8" w:name="_Toc128052077"/>
      <w:r w:rsidRPr="007C28EE">
        <w:rPr>
          <w:rStyle w:val="normaltextrun"/>
          <w:rFonts w:asciiTheme="minorHAnsi" w:hAnsiTheme="minorHAnsi" w:cstheme="minorHAnsi"/>
          <w:sz w:val="24"/>
          <w:szCs w:val="24"/>
        </w:rPr>
        <w:t>Gross Misconduct</w:t>
      </w:r>
      <w:bookmarkEnd w:id="8"/>
    </w:p>
    <w:p w14:paraId="5C415258"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If the complaint is considered so serious that it may amount to gross misconduct, justifying dismissal without previous warning and without notice (see Disciplinary Rules), the employee may be informed by the Headteacher or the Chair of Governors that they are suspended on full pay pending further investigation of the complaint.</w:t>
      </w:r>
    </w:p>
    <w:p w14:paraId="5100D156"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If, following an investigation, the Investigating Officer considers that the facts of the case amount to a prima facie case of gross misconduct, the matter will be referred to the Headteacher.</w:t>
      </w:r>
    </w:p>
    <w:p w14:paraId="276BA224"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Following the same procedure as in paragraph five above, if on the conclusion of the disciplinary hearing the Headteacher considers the complaint constitutes gross misconduct, they may decide to dismiss the employee without notice or pay in lieu of notice.</w:t>
      </w:r>
    </w:p>
    <w:p w14:paraId="67380702"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Where a suspension has taken place that suspension may only be lifted by the Governing Body, normally the Chair of Governors acting on behalf of the Governing Body.</w:t>
      </w:r>
    </w:p>
    <w:p w14:paraId="6B71BFF3" w14:textId="77777777" w:rsidR="009C26C6" w:rsidRPr="007C28EE" w:rsidRDefault="009C26C6" w:rsidP="009C26C6">
      <w:pPr>
        <w:pStyle w:val="EPMNumberedHeading"/>
        <w:ind w:left="851" w:hanging="851"/>
        <w:rPr>
          <w:rStyle w:val="normaltextrun"/>
          <w:rFonts w:asciiTheme="minorHAnsi" w:hAnsiTheme="minorHAnsi" w:cstheme="minorHAnsi"/>
          <w:sz w:val="24"/>
          <w:szCs w:val="24"/>
        </w:rPr>
      </w:pPr>
      <w:bookmarkStart w:id="9" w:name="_Toc128052078"/>
      <w:r w:rsidRPr="007C28EE">
        <w:rPr>
          <w:rStyle w:val="normaltextrun"/>
          <w:rFonts w:asciiTheme="minorHAnsi" w:hAnsiTheme="minorHAnsi" w:cstheme="minorHAnsi"/>
          <w:sz w:val="24"/>
          <w:szCs w:val="24"/>
        </w:rPr>
        <w:t>Right of Appeal</w:t>
      </w:r>
      <w:bookmarkEnd w:id="9"/>
    </w:p>
    <w:p w14:paraId="05DDC085"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The employee has a right of appeal against a decision to issue a warning or to dismiss.</w:t>
      </w:r>
      <w:r w:rsidRPr="007C28EE">
        <w:rPr>
          <w:rStyle w:val="eop"/>
          <w:rFonts w:asciiTheme="minorHAnsi" w:hAnsiTheme="minorHAnsi" w:cstheme="minorHAnsi"/>
          <w:b w:val="0"/>
          <w:bCs w:val="0"/>
        </w:rPr>
        <w:t> </w:t>
      </w:r>
    </w:p>
    <w:p w14:paraId="272F6FE1"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 xml:space="preserve">Appeals against formal written warnings or dismissal should be made in writing to the Clerk to the Governors, stating the grounds for appeal in full, within </w:t>
      </w:r>
      <w:r w:rsidRPr="007C28EE">
        <w:rPr>
          <w:rStyle w:val="EPMBracketChar"/>
          <w:rFonts w:asciiTheme="minorHAnsi" w:hAnsiTheme="minorHAnsi" w:cstheme="minorHAnsi"/>
          <w:b w:val="0"/>
          <w:bCs w:val="0"/>
          <w:sz w:val="24"/>
          <w:szCs w:val="24"/>
        </w:rPr>
        <w:t>[5/10]</w:t>
      </w:r>
      <w:r w:rsidRPr="007C28EE">
        <w:rPr>
          <w:rStyle w:val="normaltextrun"/>
          <w:rFonts w:asciiTheme="minorHAnsi" w:hAnsiTheme="minorHAnsi" w:cstheme="minorHAnsi"/>
          <w:b w:val="0"/>
          <w:bCs w:val="0"/>
        </w:rPr>
        <w:t xml:space="preserve"> working days of the date of the written decision.</w:t>
      </w:r>
      <w:r w:rsidRPr="007C28EE">
        <w:rPr>
          <w:rStyle w:val="eop"/>
          <w:rFonts w:asciiTheme="minorHAnsi" w:hAnsiTheme="minorHAnsi" w:cstheme="minorHAnsi"/>
          <w:b w:val="0"/>
          <w:bCs w:val="0"/>
        </w:rPr>
        <w:t> </w:t>
      </w:r>
    </w:p>
    <w:p w14:paraId="61E3E21A" w14:textId="77777777" w:rsidR="009C26C6" w:rsidRPr="007C28EE" w:rsidRDefault="009C26C6" w:rsidP="009C26C6">
      <w:pPr>
        <w:pStyle w:val="EPMNumberedSubheading"/>
        <w:ind w:left="1702" w:hanging="851"/>
        <w:rPr>
          <w:rStyle w:val="normaltextrun"/>
          <w:rFonts w:asciiTheme="minorHAnsi" w:hAnsiTheme="minorHAnsi" w:cstheme="minorHAnsi"/>
          <w:b w:val="0"/>
          <w:bCs w:val="0"/>
        </w:rPr>
        <w:sectPr w:rsidR="009C26C6" w:rsidRPr="007C28EE" w:rsidSect="009C26C6">
          <w:footerReference w:type="default" r:id="rId13"/>
          <w:pgSz w:w="11906" w:h="16838"/>
          <w:pgMar w:top="1695" w:right="1021" w:bottom="851" w:left="1021" w:header="709" w:footer="544" w:gutter="0"/>
          <w:pgBorders w:offsetFrom="page">
            <w:top w:val="single" w:sz="18" w:space="24" w:color="FF0000"/>
            <w:left w:val="single" w:sz="18" w:space="24" w:color="FF0000"/>
            <w:bottom w:val="single" w:sz="18" w:space="24" w:color="FF0000"/>
            <w:right w:val="single" w:sz="18" w:space="24" w:color="FF0000"/>
          </w:pgBorders>
          <w:cols w:space="708"/>
          <w:docGrid w:linePitch="360"/>
        </w:sectPr>
      </w:pPr>
      <w:r w:rsidRPr="007C28EE">
        <w:rPr>
          <w:rStyle w:val="normaltextrun"/>
          <w:rFonts w:asciiTheme="minorHAnsi" w:hAnsiTheme="minorHAnsi" w:cstheme="minorHAnsi"/>
          <w:b w:val="0"/>
          <w:bCs w:val="0"/>
        </w:rPr>
        <w:t>An appeal against a written warning (see paragraph 6.1 and 6.2) will be heard by the Governors Appeal Committee. The panel may have an HR Adviser present. The Committee may confirm the written warning, reduce a final written warning to a first written warning, or cancel the written warning.</w:t>
      </w:r>
    </w:p>
    <w:p w14:paraId="7E65F7B4" w14:textId="7E335C5C" w:rsidR="009C26C6" w:rsidRPr="007C28EE" w:rsidRDefault="009C26C6" w:rsidP="009C26C6">
      <w:pPr>
        <w:pStyle w:val="EPMNumberedSubheading"/>
        <w:ind w:left="1702" w:hanging="851"/>
        <w:rPr>
          <w:rStyle w:val="eop"/>
          <w:rFonts w:asciiTheme="minorHAnsi" w:hAnsiTheme="minorHAnsi" w:cstheme="minorHAnsi"/>
          <w:b w:val="0"/>
          <w:bCs w:val="0"/>
        </w:rPr>
      </w:pPr>
      <w:r w:rsidRPr="007C28EE">
        <w:rPr>
          <w:rStyle w:val="normaltextrun"/>
          <w:rFonts w:asciiTheme="minorHAnsi" w:hAnsiTheme="minorHAnsi" w:cstheme="minorHAnsi"/>
          <w:b w:val="0"/>
          <w:bCs w:val="0"/>
        </w:rPr>
        <w:lastRenderedPageBreak/>
        <w:t>An appeal against dismissal (see paragraph 6.3) will be to the Governors Appeal Committee, none of whom shall have any previous involvement in the case. The Governors Appeal Committee may have an HR adviser present</w:t>
      </w:r>
      <w:r w:rsidR="002B1A1D">
        <w:rPr>
          <w:rStyle w:val="normaltextrun"/>
          <w:rFonts w:asciiTheme="minorHAnsi" w:hAnsiTheme="minorHAnsi" w:cstheme="minorHAnsi"/>
          <w:b w:val="0"/>
          <w:bCs w:val="0"/>
        </w:rPr>
        <w:t xml:space="preserve"> and </w:t>
      </w:r>
      <w:r w:rsidR="002B1A1D">
        <w:rPr>
          <w:rStyle w:val="normaltextrun"/>
          <w:rFonts w:asciiTheme="minorHAnsi" w:hAnsiTheme="minorHAnsi" w:cstheme="minorHAnsi"/>
          <w:b w:val="0"/>
          <w:bCs w:val="0"/>
        </w:rPr>
        <w:t>a Local Authority Representative may attend.</w:t>
      </w:r>
    </w:p>
    <w:p w14:paraId="1E1DB45A"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All appeal hearings will be held as soon as possible and, in normal circumstances, within 10 working days after receipt of the appeal. The Clerk to Governors will usually undertake administrative arrangements for any required hearing or meeting. The outcome will be confirmed in writing as soon as possible and usually within five working days of the hearing. There will be no further right of appeal.</w:t>
      </w:r>
    </w:p>
    <w:p w14:paraId="749CA21B" w14:textId="77777777" w:rsidR="009C26C6" w:rsidRPr="007C28EE" w:rsidRDefault="009C26C6" w:rsidP="009C26C6">
      <w:pPr>
        <w:pStyle w:val="EPMNumberedHeading"/>
        <w:ind w:left="851" w:hanging="851"/>
        <w:rPr>
          <w:rStyle w:val="eop"/>
          <w:rFonts w:asciiTheme="minorHAnsi" w:hAnsiTheme="minorHAnsi" w:cstheme="minorHAnsi"/>
          <w:sz w:val="24"/>
          <w:szCs w:val="24"/>
        </w:rPr>
      </w:pPr>
      <w:bookmarkStart w:id="10" w:name="_Toc128052079"/>
      <w:r w:rsidRPr="007C28EE">
        <w:rPr>
          <w:rStyle w:val="normaltextrun"/>
          <w:rFonts w:asciiTheme="minorHAnsi" w:hAnsiTheme="minorHAnsi" w:cstheme="minorHAnsi"/>
          <w:sz w:val="24"/>
          <w:szCs w:val="24"/>
        </w:rPr>
        <w:t>Variation in Disciplinary Action</w:t>
      </w:r>
      <w:bookmarkEnd w:id="10"/>
    </w:p>
    <w:p w14:paraId="3803D59A"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If appropriate, the senior manager may decide to take informal action (as in Part A above) instead of giving a first written warning.</w:t>
      </w:r>
    </w:p>
    <w:p w14:paraId="06264F17"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The senior manager may decide the misconduct is so serious that it justifies a final written warning, without any previous written warning having been given.</w:t>
      </w:r>
    </w:p>
    <w:p w14:paraId="06B4C62E"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Rather than dismiss, the Headteacher may decide to issue no sanction or a lesser sanction.</w:t>
      </w:r>
    </w:p>
    <w:p w14:paraId="60237540"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In determining an appropriate sanction, consideration may be given to a change to role/duties which may impact on remuneration.</w:t>
      </w:r>
    </w:p>
    <w:p w14:paraId="4B560E56"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Where the Governors Appeal Committee overturns a decision to dismiss or to issue a written warning, they may substitute a lesser sanction. There is no right of appeal against such a decision of the Governors Appeal Committee.</w:t>
      </w:r>
    </w:p>
    <w:p w14:paraId="3F70DD46"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In the event that the Governors Appeal Committee decides not to uphold the decision to dismiss, the employee will be reinstated without loss of pay.</w:t>
      </w:r>
    </w:p>
    <w:p w14:paraId="67E58CB6" w14:textId="77777777" w:rsidR="009C26C6" w:rsidRPr="007C28EE" w:rsidRDefault="009C26C6" w:rsidP="009C26C6">
      <w:pPr>
        <w:pStyle w:val="EPMNumberedHeading"/>
        <w:rPr>
          <w:rFonts w:asciiTheme="minorHAnsi" w:hAnsiTheme="minorHAnsi" w:cstheme="minorHAnsi"/>
          <w:sz w:val="24"/>
          <w:szCs w:val="24"/>
        </w:rPr>
      </w:pPr>
      <w:bookmarkStart w:id="11" w:name="_Toc128052080"/>
      <w:r w:rsidRPr="007C28EE">
        <w:rPr>
          <w:rStyle w:val="normaltextrun"/>
          <w:rFonts w:asciiTheme="minorHAnsi" w:hAnsiTheme="minorHAnsi" w:cstheme="minorHAnsi"/>
          <w:sz w:val="24"/>
          <w:szCs w:val="24"/>
        </w:rPr>
        <w:t>Trade Union Representatives</w:t>
      </w:r>
      <w:bookmarkEnd w:id="11"/>
    </w:p>
    <w:p w14:paraId="6C540A7D" w14:textId="77777777" w:rsidR="009C26C6" w:rsidRPr="007C28EE" w:rsidRDefault="009C26C6" w:rsidP="009C26C6">
      <w:pPr>
        <w:pStyle w:val="EPMNumberedSubheading"/>
        <w:ind w:left="1702" w:hanging="851"/>
        <w:rPr>
          <w:rFonts w:asciiTheme="minorHAnsi" w:hAnsiTheme="minorHAnsi" w:cstheme="minorHAnsi"/>
          <w:b w:val="0"/>
          <w:bCs w:val="0"/>
        </w:rPr>
      </w:pPr>
      <w:r w:rsidRPr="007C28EE">
        <w:rPr>
          <w:rStyle w:val="normaltextrun"/>
          <w:rFonts w:asciiTheme="minorHAnsi" w:hAnsiTheme="minorHAnsi" w:cstheme="minorHAnsi"/>
          <w:b w:val="0"/>
          <w:bCs w:val="0"/>
        </w:rPr>
        <w:t>Where disciplinary action is being considered against an employee who is a trade union representative, the normal disciplinary procedure should be followed. Depending on the circumstances, however, it is advisable to discuss the matter at an early stage with an official employed by the union, after obtaining the employee’s agreement.</w:t>
      </w:r>
    </w:p>
    <w:p w14:paraId="6F235E95" w14:textId="77777777" w:rsidR="009C26C6" w:rsidRPr="007C28EE" w:rsidRDefault="009C26C6" w:rsidP="009C26C6">
      <w:pPr>
        <w:pStyle w:val="EPMNumberedHeading"/>
        <w:rPr>
          <w:rFonts w:asciiTheme="minorHAnsi" w:hAnsiTheme="minorHAnsi" w:cstheme="minorHAnsi"/>
          <w:sz w:val="24"/>
          <w:szCs w:val="24"/>
        </w:rPr>
      </w:pPr>
      <w:bookmarkStart w:id="12" w:name="_Toc128052081"/>
      <w:r w:rsidRPr="007C28EE">
        <w:rPr>
          <w:rStyle w:val="normaltextrun"/>
          <w:rFonts w:asciiTheme="minorHAnsi" w:hAnsiTheme="minorHAnsi" w:cstheme="minorHAnsi"/>
          <w:sz w:val="24"/>
          <w:szCs w:val="24"/>
        </w:rPr>
        <w:t>Confidentiality</w:t>
      </w:r>
      <w:bookmarkEnd w:id="12"/>
    </w:p>
    <w:p w14:paraId="3AF08007" w14:textId="77777777" w:rsidR="009C26C6" w:rsidRPr="007C28EE" w:rsidRDefault="009C26C6" w:rsidP="009C26C6">
      <w:pPr>
        <w:pStyle w:val="EPMNumberedSubheading"/>
        <w:ind w:left="1701" w:hanging="992"/>
        <w:rPr>
          <w:rFonts w:asciiTheme="minorHAnsi" w:hAnsiTheme="minorHAnsi" w:cstheme="minorHAnsi"/>
          <w:b w:val="0"/>
          <w:bCs w:val="0"/>
        </w:rPr>
      </w:pPr>
      <w:r w:rsidRPr="007C28EE">
        <w:rPr>
          <w:rStyle w:val="normaltextrun"/>
          <w:rFonts w:asciiTheme="minorHAnsi" w:hAnsiTheme="minorHAnsi" w:cstheme="minorHAnsi"/>
          <w:b w:val="0"/>
          <w:bCs w:val="0"/>
        </w:rPr>
        <w:t>All employees subject to disciplinary investigations or proceedings must treat as confidential any information communicated to them in connection with an investigation or disciplinary matter.</w:t>
      </w:r>
    </w:p>
    <w:bookmarkEnd w:id="1"/>
    <w:bookmarkEnd w:id="0"/>
    <w:p w14:paraId="25621449" w14:textId="6F7EC120" w:rsidR="009C26C6" w:rsidRPr="002B1A1D" w:rsidRDefault="009C26C6" w:rsidP="009C26C6">
      <w:pPr>
        <w:rPr>
          <w:b/>
          <w:bCs/>
          <w:sz w:val="24"/>
          <w:szCs w:val="24"/>
        </w:rPr>
      </w:pPr>
    </w:p>
    <w:p w14:paraId="0BD39622" w14:textId="406230C9" w:rsidR="007C66BE" w:rsidRPr="009C26C6" w:rsidRDefault="007C66BE" w:rsidP="009C26C6">
      <w:pPr>
        <w:tabs>
          <w:tab w:val="left" w:pos="6915"/>
        </w:tabs>
      </w:pPr>
      <w:bookmarkStart w:id="13" w:name="_GoBack"/>
      <w:bookmarkEnd w:id="13"/>
    </w:p>
    <w:sectPr w:rsidR="007C66BE" w:rsidRPr="009C26C6" w:rsidSect="009C26C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567" w:left="1440" w:header="708" w:footer="708" w:gutter="0"/>
      <w:pgBorders w:offsetFrom="page">
        <w:top w:val="single" w:sz="18" w:space="24" w:color="FF0000"/>
        <w:left w:val="single" w:sz="18" w:space="24" w:color="FF0000"/>
        <w:bottom w:val="single" w:sz="18" w:space="24" w:color="FF0000"/>
        <w:right w:val="single" w:sz="18"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FC15" w14:textId="77777777" w:rsidR="0041775D" w:rsidRDefault="0041775D" w:rsidP="00A97D53">
      <w:r>
        <w:separator/>
      </w:r>
    </w:p>
  </w:endnote>
  <w:endnote w:type="continuationSeparator" w:id="0">
    <w:p w14:paraId="5F9174AC" w14:textId="77777777" w:rsidR="0041775D" w:rsidRDefault="0041775D"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Content>
      <w:p w14:paraId="156F4090" w14:textId="5FE3290C" w:rsidR="009C26C6" w:rsidRPr="0099024B" w:rsidRDefault="009C26C6"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2B1A1D">
          <w:rPr>
            <w:rStyle w:val="PageNumber"/>
            <w:rFonts w:cs="Arial"/>
            <w:noProof/>
            <w:sz w:val="16"/>
            <w:szCs w:val="16"/>
          </w:rPr>
          <w:t>6</w:t>
        </w:r>
        <w:r w:rsidRPr="0099024B">
          <w:rPr>
            <w:rStyle w:val="PageNumber"/>
            <w:rFonts w:cs="Arial"/>
            <w:sz w:val="16"/>
            <w:szCs w:val="16"/>
          </w:rPr>
          <w:fldChar w:fldCharType="end"/>
        </w:r>
      </w:p>
    </w:sdtContent>
  </w:sdt>
  <w:p w14:paraId="680CA156" w14:textId="77777777" w:rsidR="009C26C6" w:rsidRPr="000A69A2" w:rsidRDefault="009C26C6"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826655"/>
      <w:docPartObj>
        <w:docPartGallery w:val="Page Numbers (Bottom of Page)"/>
        <w:docPartUnique/>
      </w:docPartObj>
    </w:sdtPr>
    <w:sdtEndPr>
      <w:rPr>
        <w:noProof/>
      </w:rPr>
    </w:sdtEndPr>
    <w:sdtContent>
      <w:sdt>
        <w:sdtPr>
          <w:id w:val="-355818711"/>
          <w:docPartObj>
            <w:docPartGallery w:val="Page Numbers (Bottom of Page)"/>
            <w:docPartUnique/>
          </w:docPartObj>
        </w:sdtPr>
        <w:sdtEndPr>
          <w:rPr>
            <w:noProof/>
          </w:rPr>
        </w:sdtEndPr>
        <w:sdtContent>
          <w:sdt>
            <w:sdtPr>
              <w:id w:val="-1118673810"/>
              <w:docPartObj>
                <w:docPartGallery w:val="Page Numbers (Bottom of Page)"/>
                <w:docPartUnique/>
              </w:docPartObj>
            </w:sdtPr>
            <w:sdtEndPr>
              <w:rPr>
                <w:noProof/>
                <w:sz w:val="18"/>
                <w:szCs w:val="18"/>
              </w:rPr>
            </w:sdtEndPr>
            <w:sdtContent>
              <w:p w14:paraId="2A8C3733" w14:textId="77777777" w:rsidR="00C648F0" w:rsidRPr="00C85DDD" w:rsidRDefault="00C648F0"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1824" behindDoc="0" locked="0" layoutInCell="1" allowOverlap="1" wp14:anchorId="5E4759DC" wp14:editId="724F47A7">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F95C54" id="Straight Connector 4" o:spid="_x0000_s1026" style="position:absolute;z-index:251661824;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Pr>
                    <w:noProof/>
                    <w:sz w:val="18"/>
                    <w:szCs w:val="18"/>
                  </w:rPr>
                  <w:t>2</w:t>
                </w:r>
                <w:r w:rsidRPr="008923B4">
                  <w:rPr>
                    <w:noProof/>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4403"/>
      <w:docPartObj>
        <w:docPartGallery w:val="Page Numbers (Bottom of Page)"/>
        <w:docPartUnique/>
      </w:docPartObj>
    </w:sdtPr>
    <w:sdtEndPr>
      <w:rPr>
        <w:noProof/>
      </w:rPr>
    </w:sdtEndPr>
    <w:sdtContent>
      <w:sdt>
        <w:sdtPr>
          <w:id w:val="-1644120130"/>
          <w:docPartObj>
            <w:docPartGallery w:val="Page Numbers (Bottom of Page)"/>
            <w:docPartUnique/>
          </w:docPartObj>
        </w:sdtPr>
        <w:sdtEndPr>
          <w:rPr>
            <w:noProof/>
          </w:rPr>
        </w:sdtEndPr>
        <w:sdtContent>
          <w:sdt>
            <w:sdtPr>
              <w:id w:val="-58712420"/>
              <w:docPartObj>
                <w:docPartGallery w:val="Page Numbers (Bottom of Page)"/>
                <w:docPartUnique/>
              </w:docPartObj>
            </w:sdtPr>
            <w:sdtEndPr>
              <w:rPr>
                <w:noProof/>
                <w:sz w:val="18"/>
                <w:szCs w:val="18"/>
              </w:rPr>
            </w:sdtEndPr>
            <w:sdtContent>
              <w:p w14:paraId="6DD10C69" w14:textId="3A4AA277" w:rsidR="00144805" w:rsidRPr="00C85DDD" w:rsidRDefault="00C85DDD" w:rsidP="00C85DDD">
                <w:pPr>
                  <w:pStyle w:val="Footer"/>
                  <w:jc w:val="right"/>
                  <w:rPr>
                    <w:sz w:val="18"/>
                    <w:szCs w:val="18"/>
                  </w:rPr>
                </w:pPr>
                <w:r w:rsidRPr="008923B4">
                  <w:rPr>
                    <w:noProof/>
                    <w:sz w:val="20"/>
                    <w:szCs w:val="20"/>
                    <w:lang w:eastAsia="en-GB"/>
                  </w:rPr>
                  <mc:AlternateContent>
                    <mc:Choice Requires="wps">
                      <w:drawing>
                        <wp:anchor distT="0" distB="0" distL="114300" distR="114300" simplePos="0" relativeHeight="251654656" behindDoc="0" locked="0" layoutInCell="1" allowOverlap="1" wp14:anchorId="667CBFBC" wp14:editId="5AD4890E">
                          <wp:simplePos x="0" y="0"/>
                          <wp:positionH relativeFrom="character">
                            <wp:posOffset>107950</wp:posOffset>
                          </wp:positionH>
                          <wp:positionV relativeFrom="paragraph">
                            <wp:posOffset>-27305</wp:posOffset>
                          </wp:positionV>
                          <wp:extent cx="0" cy="216000"/>
                          <wp:effectExtent l="0" t="0" r="19050" b="31750"/>
                          <wp:wrapNone/>
                          <wp:docPr id="5020" name="Straight Connector 5020"/>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EF3BB1" id="Straight Connector 5020" o:spid="_x0000_s1026" style="position:absolute;z-index:251654656;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8.5pt,-2.15pt" to="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" strokecolor="#ff4874" strokeweight="1pt"/>
                      </w:pict>
                    </mc:Fallback>
                  </mc:AlternateContent>
                </w:r>
                <w:r w:rsidR="008D3BD6">
                  <w:t xml:space="preserve">Disiplinary Procedures Relating to Misconduct Spring Meadow Page </w: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sidR="002B1A1D">
                  <w:rPr>
                    <w:noProof/>
                    <w:sz w:val="18"/>
                    <w:szCs w:val="18"/>
                  </w:rPr>
                  <w:t>1</w:t>
                </w:r>
                <w:r w:rsidRPr="008923B4">
                  <w:rPr>
                    <w:noProof/>
                    <w:sz w:val="18"/>
                    <w:szCs w:val="18"/>
                  </w:rPr>
                  <w:fldChar w:fldCharType="end"/>
                </w:r>
              </w:p>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5BAD" w14:textId="77777777" w:rsidR="008D3BD6" w:rsidRDefault="008D3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F8CA" w14:textId="77777777" w:rsidR="0041775D" w:rsidRDefault="0041775D" w:rsidP="00A97D53">
      <w:r>
        <w:separator/>
      </w:r>
    </w:p>
  </w:footnote>
  <w:footnote w:type="continuationSeparator" w:id="0">
    <w:p w14:paraId="6BF9279D" w14:textId="77777777" w:rsidR="0041775D" w:rsidRDefault="0041775D" w:rsidP="00A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DAEF" w14:textId="77777777" w:rsidR="008D3BD6" w:rsidRDefault="008D3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1D90" w14:textId="77777777" w:rsidR="008D3BD6" w:rsidRDefault="008D3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0379" w14:textId="77777777" w:rsidR="008D3BD6" w:rsidRDefault="008D3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949BC"/>
    <w:multiLevelType w:val="multilevel"/>
    <w:tmpl w:val="DBC803A8"/>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b/>
      </w:rPr>
    </w:lvl>
    <w:lvl w:ilvl="2">
      <w:start w:val="1"/>
      <w:numFmt w:val="decimal"/>
      <w:pStyle w:val="EPMNumberedsubheading2"/>
      <w:lvlText w:val="%1.%2.%3."/>
      <w:lvlJc w:val="left"/>
      <w:pPr>
        <w:ind w:left="291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4" w15:restartNumberingAfterBreak="0">
    <w:nsid w:val="07B9008E"/>
    <w:multiLevelType w:val="hybridMultilevel"/>
    <w:tmpl w:val="F920C8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310C3"/>
    <w:multiLevelType w:val="hybridMultilevel"/>
    <w:tmpl w:val="F920C8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A54D8F"/>
    <w:multiLevelType w:val="hybridMultilevel"/>
    <w:tmpl w:val="308E233C"/>
    <w:lvl w:ilvl="0" w:tplc="08090019">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2A190B"/>
    <w:multiLevelType w:val="hybridMultilevel"/>
    <w:tmpl w:val="308E233C"/>
    <w:lvl w:ilvl="0" w:tplc="FFFFFFFF">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F5386D"/>
    <w:multiLevelType w:val="hybridMultilevel"/>
    <w:tmpl w:val="F920C8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796833"/>
    <w:multiLevelType w:val="hybridMultilevel"/>
    <w:tmpl w:val="F920C8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F3619"/>
    <w:multiLevelType w:val="hybridMultilevel"/>
    <w:tmpl w:val="308E233C"/>
    <w:lvl w:ilvl="0" w:tplc="FFFFFFFF">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B607C"/>
    <w:multiLevelType w:val="hybridMultilevel"/>
    <w:tmpl w:val="F920C8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4"/>
  </w:num>
  <w:num w:numId="4">
    <w:abstractNumId w:val="1"/>
  </w:num>
  <w:num w:numId="5">
    <w:abstractNumId w:val="20"/>
  </w:num>
  <w:num w:numId="6">
    <w:abstractNumId w:val="32"/>
  </w:num>
  <w:num w:numId="7">
    <w:abstractNumId w:val="14"/>
  </w:num>
  <w:num w:numId="8">
    <w:abstractNumId w:val="12"/>
  </w:num>
  <w:num w:numId="9">
    <w:abstractNumId w:val="7"/>
  </w:num>
  <w:num w:numId="10">
    <w:abstractNumId w:val="9"/>
  </w:num>
  <w:num w:numId="11">
    <w:abstractNumId w:val="13"/>
  </w:num>
  <w:num w:numId="12">
    <w:abstractNumId w:val="10"/>
  </w:num>
  <w:num w:numId="13">
    <w:abstractNumId w:val="26"/>
  </w:num>
  <w:num w:numId="14">
    <w:abstractNumId w:val="28"/>
  </w:num>
  <w:num w:numId="15">
    <w:abstractNumId w:val="22"/>
  </w:num>
  <w:num w:numId="16">
    <w:abstractNumId w:val="6"/>
  </w:num>
  <w:num w:numId="17">
    <w:abstractNumId w:val="10"/>
    <w:lvlOverride w:ilvl="0">
      <w:startOverride w:val="1"/>
    </w:lvlOverride>
  </w:num>
  <w:num w:numId="18">
    <w:abstractNumId w:val="11"/>
  </w:num>
  <w:num w:numId="19">
    <w:abstractNumId w:val="31"/>
  </w:num>
  <w:num w:numId="20">
    <w:abstractNumId w:val="21"/>
  </w:num>
  <w:num w:numId="21">
    <w:abstractNumId w:val="21"/>
    <w:lvlOverride w:ilvl="0">
      <w:startOverride w:val="1"/>
    </w:lvlOverride>
  </w:num>
  <w:num w:numId="22">
    <w:abstractNumId w:val="19"/>
  </w:num>
  <w:num w:numId="23">
    <w:abstractNumId w:val="29"/>
  </w:num>
  <w:num w:numId="24">
    <w:abstractNumId w:val="33"/>
  </w:num>
  <w:num w:numId="25">
    <w:abstractNumId w:val="27"/>
  </w:num>
  <w:num w:numId="26">
    <w:abstractNumId w:val="4"/>
  </w:num>
  <w:num w:numId="27">
    <w:abstractNumId w:val="17"/>
  </w:num>
  <w:num w:numId="28">
    <w:abstractNumId w:val="5"/>
  </w:num>
  <w:num w:numId="29">
    <w:abstractNumId w:val="30"/>
  </w:num>
  <w:num w:numId="30">
    <w:abstractNumId w:val="23"/>
  </w:num>
  <w:num w:numId="31">
    <w:abstractNumId w:val="8"/>
  </w:num>
  <w:num w:numId="32">
    <w:abstractNumId w:val="18"/>
  </w:num>
  <w:num w:numId="33">
    <w:abstractNumId w:val="2"/>
  </w:num>
  <w:num w:numId="34">
    <w:abstractNumId w:val="34"/>
  </w:num>
  <w:num w:numId="35">
    <w:abstractNumId w:val="15"/>
  </w:num>
  <w:num w:numId="36">
    <w:abstractNumId w:val="16"/>
  </w:num>
  <w:num w:numId="3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SxNDKyMLQ0NzQyMzVW0lEKTi0uzszPAykwrAUAL4MBfiwAAAA="/>
  </w:docVars>
  <w:rsids>
    <w:rsidRoot w:val="007C66BE"/>
    <w:rsid w:val="00025F45"/>
    <w:rsid w:val="00030006"/>
    <w:rsid w:val="00031BE5"/>
    <w:rsid w:val="00041DF0"/>
    <w:rsid w:val="00042410"/>
    <w:rsid w:val="00065323"/>
    <w:rsid w:val="000A1CAE"/>
    <w:rsid w:val="000A6437"/>
    <w:rsid w:val="000D3526"/>
    <w:rsid w:val="000E0113"/>
    <w:rsid w:val="000F0797"/>
    <w:rsid w:val="00152184"/>
    <w:rsid w:val="00161C8D"/>
    <w:rsid w:val="00166237"/>
    <w:rsid w:val="00173563"/>
    <w:rsid w:val="00175B3B"/>
    <w:rsid w:val="00183F9A"/>
    <w:rsid w:val="001A08E1"/>
    <w:rsid w:val="001B7C23"/>
    <w:rsid w:val="001D0C95"/>
    <w:rsid w:val="001F2578"/>
    <w:rsid w:val="001F3A0F"/>
    <w:rsid w:val="002047FF"/>
    <w:rsid w:val="002256C6"/>
    <w:rsid w:val="00231DC4"/>
    <w:rsid w:val="00243E2A"/>
    <w:rsid w:val="00267111"/>
    <w:rsid w:val="002B084D"/>
    <w:rsid w:val="002B1A1D"/>
    <w:rsid w:val="002B42B3"/>
    <w:rsid w:val="002B6F03"/>
    <w:rsid w:val="002C66EE"/>
    <w:rsid w:val="00306671"/>
    <w:rsid w:val="003254BF"/>
    <w:rsid w:val="00332A4C"/>
    <w:rsid w:val="00373406"/>
    <w:rsid w:val="00387BF7"/>
    <w:rsid w:val="00394E4E"/>
    <w:rsid w:val="003B3EFC"/>
    <w:rsid w:val="003C2711"/>
    <w:rsid w:val="003C64A8"/>
    <w:rsid w:val="003D061D"/>
    <w:rsid w:val="003E578B"/>
    <w:rsid w:val="003F233C"/>
    <w:rsid w:val="003F3A71"/>
    <w:rsid w:val="0041775D"/>
    <w:rsid w:val="004239C4"/>
    <w:rsid w:val="004316FE"/>
    <w:rsid w:val="00441E1E"/>
    <w:rsid w:val="0044467C"/>
    <w:rsid w:val="00452712"/>
    <w:rsid w:val="00461483"/>
    <w:rsid w:val="004859C1"/>
    <w:rsid w:val="00493F39"/>
    <w:rsid w:val="004940E2"/>
    <w:rsid w:val="00494563"/>
    <w:rsid w:val="00497728"/>
    <w:rsid w:val="004B0EDD"/>
    <w:rsid w:val="004B24A5"/>
    <w:rsid w:val="004E05A9"/>
    <w:rsid w:val="004F13B0"/>
    <w:rsid w:val="00504F85"/>
    <w:rsid w:val="00507CDF"/>
    <w:rsid w:val="0051087A"/>
    <w:rsid w:val="00515A3E"/>
    <w:rsid w:val="00523B85"/>
    <w:rsid w:val="00533AD9"/>
    <w:rsid w:val="005705E1"/>
    <w:rsid w:val="00586010"/>
    <w:rsid w:val="0059327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05F76"/>
    <w:rsid w:val="00711438"/>
    <w:rsid w:val="00722F0E"/>
    <w:rsid w:val="00732EB0"/>
    <w:rsid w:val="00733087"/>
    <w:rsid w:val="0074087B"/>
    <w:rsid w:val="00751C38"/>
    <w:rsid w:val="00753278"/>
    <w:rsid w:val="00753481"/>
    <w:rsid w:val="007A5B1C"/>
    <w:rsid w:val="007B40FE"/>
    <w:rsid w:val="007C28EE"/>
    <w:rsid w:val="007C2970"/>
    <w:rsid w:val="007C66BE"/>
    <w:rsid w:val="007D55EF"/>
    <w:rsid w:val="0080239A"/>
    <w:rsid w:val="0081279C"/>
    <w:rsid w:val="00830159"/>
    <w:rsid w:val="00831710"/>
    <w:rsid w:val="00852661"/>
    <w:rsid w:val="00862C0B"/>
    <w:rsid w:val="008939C6"/>
    <w:rsid w:val="008A38F2"/>
    <w:rsid w:val="008D0383"/>
    <w:rsid w:val="008D1CFB"/>
    <w:rsid w:val="008D2DE2"/>
    <w:rsid w:val="008D3BD6"/>
    <w:rsid w:val="00902266"/>
    <w:rsid w:val="00903779"/>
    <w:rsid w:val="00912726"/>
    <w:rsid w:val="00935357"/>
    <w:rsid w:val="00946B7A"/>
    <w:rsid w:val="00953B20"/>
    <w:rsid w:val="0096132C"/>
    <w:rsid w:val="00964F9F"/>
    <w:rsid w:val="00994483"/>
    <w:rsid w:val="009A4CB8"/>
    <w:rsid w:val="009C26C6"/>
    <w:rsid w:val="009D0A71"/>
    <w:rsid w:val="009F200F"/>
    <w:rsid w:val="009F5C1A"/>
    <w:rsid w:val="00A131E1"/>
    <w:rsid w:val="00A14079"/>
    <w:rsid w:val="00A329E3"/>
    <w:rsid w:val="00A409B6"/>
    <w:rsid w:val="00A548B8"/>
    <w:rsid w:val="00A55251"/>
    <w:rsid w:val="00A7533E"/>
    <w:rsid w:val="00A97D53"/>
    <w:rsid w:val="00AE5816"/>
    <w:rsid w:val="00AF3CA6"/>
    <w:rsid w:val="00B271E0"/>
    <w:rsid w:val="00B272EF"/>
    <w:rsid w:val="00B45E88"/>
    <w:rsid w:val="00B5413D"/>
    <w:rsid w:val="00B72A61"/>
    <w:rsid w:val="00BB1FAA"/>
    <w:rsid w:val="00BE4E20"/>
    <w:rsid w:val="00BE6F79"/>
    <w:rsid w:val="00C16104"/>
    <w:rsid w:val="00C3308B"/>
    <w:rsid w:val="00C40752"/>
    <w:rsid w:val="00C4133B"/>
    <w:rsid w:val="00C4588D"/>
    <w:rsid w:val="00C510FE"/>
    <w:rsid w:val="00C648F0"/>
    <w:rsid w:val="00C67DE1"/>
    <w:rsid w:val="00C80CD5"/>
    <w:rsid w:val="00C82238"/>
    <w:rsid w:val="00C85DDD"/>
    <w:rsid w:val="00CD2E39"/>
    <w:rsid w:val="00CD4A49"/>
    <w:rsid w:val="00CD511D"/>
    <w:rsid w:val="00D12B76"/>
    <w:rsid w:val="00D14348"/>
    <w:rsid w:val="00D23616"/>
    <w:rsid w:val="00D5580A"/>
    <w:rsid w:val="00D8081F"/>
    <w:rsid w:val="00D96E2A"/>
    <w:rsid w:val="00DA6A5C"/>
    <w:rsid w:val="00DD5014"/>
    <w:rsid w:val="00DE1861"/>
    <w:rsid w:val="00DE1899"/>
    <w:rsid w:val="00DF5815"/>
    <w:rsid w:val="00E5121C"/>
    <w:rsid w:val="00E5650F"/>
    <w:rsid w:val="00E710E6"/>
    <w:rsid w:val="00E819AB"/>
    <w:rsid w:val="00EA0EE8"/>
    <w:rsid w:val="00EA67F6"/>
    <w:rsid w:val="00EA6FD6"/>
    <w:rsid w:val="00ED25C4"/>
    <w:rsid w:val="00F3002F"/>
    <w:rsid w:val="00F3151D"/>
    <w:rsid w:val="00F42A9A"/>
    <w:rsid w:val="00F442F4"/>
    <w:rsid w:val="00F54EA6"/>
    <w:rsid w:val="00F551FB"/>
    <w:rsid w:val="00F6776E"/>
    <w:rsid w:val="00F82B3C"/>
    <w:rsid w:val="00F83BCF"/>
    <w:rsid w:val="00F923E5"/>
    <w:rsid w:val="00F93C27"/>
    <w:rsid w:val="00FB0F2B"/>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71534C"/>
  <w15:docId w15:val="{57489A54-0BB3-482A-9A96-19065817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184"/>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jc w:val="both"/>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jc w:val="both"/>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23"/>
      </w:numPr>
      <w:spacing w:after="120"/>
      <w:ind w:left="357" w:hanging="357"/>
      <w:jc w:val="both"/>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jc w:val="both"/>
    </w:pPr>
    <w:rPr>
      <w:color w:val="0077C8"/>
      <w:sz w:val="50"/>
      <w:szCs w:val="50"/>
    </w:rPr>
  </w:style>
  <w:style w:type="paragraph" w:customStyle="1" w:styleId="Sectionheading">
    <w:name w:val="Section heading"/>
    <w:link w:val="SectionheadingChar"/>
    <w:qFormat/>
    <w:rsid w:val="00A14079"/>
    <w:pPr>
      <w:keepNext/>
      <w:keepLines/>
      <w:numPr>
        <w:numId w:val="5"/>
      </w:numPr>
      <w:spacing w:before="360" w:after="120"/>
      <w:ind w:left="567" w:hanging="567"/>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5"/>
      </w:numPr>
      <w:spacing w:after="200"/>
      <w:ind w:left="1418" w:hanging="811"/>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ind w:left="2410" w:hanging="992"/>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pPr>
      <w:jc w:val="both"/>
    </w:pPr>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1F2578"/>
    <w:pPr>
      <w:tabs>
        <w:tab w:val="left" w:pos="567"/>
        <w:tab w:val="right" w:pos="9016"/>
      </w:tabs>
      <w:spacing w:after="100"/>
      <w:ind w:left="426" w:hanging="426"/>
    </w:pPr>
    <w:rPr>
      <w:noProof/>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 w:type="paragraph" w:styleId="TOC3">
    <w:name w:val="toc 3"/>
    <w:basedOn w:val="Normal"/>
    <w:next w:val="Normal"/>
    <w:autoRedefine/>
    <w:uiPriority w:val="39"/>
    <w:unhideWhenUsed/>
    <w:rsid w:val="001F2578"/>
    <w:pPr>
      <w:tabs>
        <w:tab w:val="left" w:pos="567"/>
        <w:tab w:val="right" w:pos="9016"/>
      </w:tabs>
      <w:spacing w:after="100"/>
      <w:ind w:firstLine="426"/>
    </w:pPr>
    <w:rPr>
      <w:noProof/>
      <w:color w:val="3B597B"/>
    </w:rPr>
  </w:style>
  <w:style w:type="paragraph" w:customStyle="1" w:styleId="EPMHeading2">
    <w:name w:val="EPM Heading 2"/>
    <w:qFormat/>
    <w:rsid w:val="009C26C6"/>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9C26C6"/>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9C26C6"/>
    <w:pPr>
      <w:spacing w:after="240" w:line="320" w:lineRule="exact"/>
    </w:pPr>
    <w:rPr>
      <w:rFonts w:ascii="Arial" w:hAnsi="Arial" w:cs="Arial"/>
      <w:b/>
      <w:sz w:val="32"/>
      <w:szCs w:val="24"/>
    </w:rPr>
  </w:style>
  <w:style w:type="paragraph" w:customStyle="1" w:styleId="EPMBullets">
    <w:name w:val="EPM Bullets"/>
    <w:basedOn w:val="EPMTextstyle"/>
    <w:qFormat/>
    <w:rsid w:val="009C26C6"/>
    <w:pPr>
      <w:numPr>
        <w:numId w:val="32"/>
      </w:numPr>
      <w:spacing w:before="120" w:after="120"/>
      <w:ind w:left="360"/>
    </w:pPr>
  </w:style>
  <w:style w:type="character" w:styleId="PageNumber">
    <w:name w:val="page number"/>
    <w:basedOn w:val="DefaultParagraphFont"/>
    <w:uiPriority w:val="99"/>
    <w:semiHidden/>
    <w:unhideWhenUsed/>
    <w:rsid w:val="009C26C6"/>
  </w:style>
  <w:style w:type="paragraph" w:customStyle="1" w:styleId="EPMNumberedHeading">
    <w:name w:val="EPM Numbered Heading"/>
    <w:basedOn w:val="Normal"/>
    <w:qFormat/>
    <w:rsid w:val="009C26C6"/>
    <w:pPr>
      <w:numPr>
        <w:numId w:val="33"/>
      </w:numPr>
      <w:spacing w:before="200" w:after="120" w:line="280" w:lineRule="exact"/>
      <w:ind w:left="709" w:hanging="709"/>
    </w:pPr>
    <w:rPr>
      <w:rFonts w:ascii="Arial" w:hAnsi="Arial" w:cs="Arial"/>
      <w:b/>
      <w:bCs/>
      <w:color w:val="auto"/>
      <w:sz w:val="28"/>
      <w:szCs w:val="28"/>
    </w:rPr>
  </w:style>
  <w:style w:type="paragraph" w:customStyle="1" w:styleId="EPMBracket">
    <w:name w:val="EPM Bracket"/>
    <w:basedOn w:val="EPMTextstyle"/>
    <w:link w:val="EPMBracketChar"/>
    <w:qFormat/>
    <w:rsid w:val="009C26C6"/>
    <w:rPr>
      <w:color w:val="A31457"/>
    </w:rPr>
  </w:style>
  <w:style w:type="character" w:customStyle="1" w:styleId="EPMTextstyleChar">
    <w:name w:val="EPM Text style Char"/>
    <w:basedOn w:val="DefaultParagraphFont"/>
    <w:link w:val="EPMTextstyle"/>
    <w:rsid w:val="009C26C6"/>
    <w:rPr>
      <w:rFonts w:ascii="Arial" w:hAnsi="Arial" w:cs="Arial"/>
      <w:sz w:val="21"/>
      <w:szCs w:val="20"/>
    </w:rPr>
  </w:style>
  <w:style w:type="character" w:customStyle="1" w:styleId="EPMBracketChar">
    <w:name w:val="EPM Bracket Char"/>
    <w:basedOn w:val="EPMTextstyleChar"/>
    <w:link w:val="EPMBracket"/>
    <w:rsid w:val="009C26C6"/>
    <w:rPr>
      <w:rFonts w:ascii="Arial" w:hAnsi="Arial" w:cs="Arial"/>
      <w:color w:val="A31457"/>
      <w:sz w:val="21"/>
      <w:szCs w:val="20"/>
    </w:rPr>
  </w:style>
  <w:style w:type="paragraph" w:customStyle="1" w:styleId="EPMNumberedSubheading">
    <w:name w:val="EPM Numbered Subheading"/>
    <w:basedOn w:val="Normal"/>
    <w:link w:val="EPMNumberedSubheadingChar"/>
    <w:qFormat/>
    <w:rsid w:val="009C26C6"/>
    <w:pPr>
      <w:numPr>
        <w:ilvl w:val="1"/>
        <w:numId w:val="33"/>
      </w:numPr>
      <w:spacing w:before="200" w:after="120" w:line="280" w:lineRule="exact"/>
      <w:ind w:left="1418" w:hanging="709"/>
    </w:pPr>
    <w:rPr>
      <w:rFonts w:ascii="Arial" w:hAnsi="Arial" w:cs="Arial"/>
      <w:b/>
      <w:bCs/>
      <w:color w:val="auto"/>
      <w:sz w:val="24"/>
      <w:szCs w:val="24"/>
    </w:rPr>
  </w:style>
  <w:style w:type="paragraph" w:customStyle="1" w:styleId="EPMNumberedsubheading2">
    <w:name w:val="EPM Numbered subheading 2"/>
    <w:basedOn w:val="Normal"/>
    <w:link w:val="EPMNumberedsubheading2Char"/>
    <w:qFormat/>
    <w:rsid w:val="009C26C6"/>
    <w:pPr>
      <w:numPr>
        <w:ilvl w:val="2"/>
        <w:numId w:val="33"/>
      </w:numPr>
      <w:spacing w:before="200" w:after="120" w:line="280" w:lineRule="exact"/>
      <w:ind w:left="1843" w:hanging="425"/>
    </w:pPr>
    <w:rPr>
      <w:rFonts w:ascii="Arial" w:hAnsi="Arial" w:cs="Arial"/>
      <w:b/>
      <w:bCs/>
      <w:color w:val="auto"/>
    </w:rPr>
  </w:style>
  <w:style w:type="character" w:customStyle="1" w:styleId="EPMNumberedSubheadingChar">
    <w:name w:val="EPM Numbered Subheading Char"/>
    <w:basedOn w:val="DefaultParagraphFont"/>
    <w:link w:val="EPMNumberedSubheading"/>
    <w:rsid w:val="009C26C6"/>
    <w:rPr>
      <w:rFonts w:ascii="Arial" w:hAnsi="Arial" w:cs="Arial"/>
      <w:b/>
      <w:bCs/>
      <w:sz w:val="24"/>
      <w:szCs w:val="24"/>
    </w:rPr>
  </w:style>
  <w:style w:type="character" w:customStyle="1" w:styleId="EPMNumberedsubheading2Char">
    <w:name w:val="EPM Numbered subheading 2 Char"/>
    <w:basedOn w:val="DefaultParagraphFont"/>
    <w:link w:val="EPMNumberedsubheading2"/>
    <w:rsid w:val="009C26C6"/>
    <w:rPr>
      <w:rFonts w:ascii="Arial" w:hAnsi="Arial" w:cs="Arial"/>
      <w:b/>
      <w:bCs/>
    </w:rPr>
  </w:style>
  <w:style w:type="paragraph" w:customStyle="1" w:styleId="EPMTextStyleLevel3">
    <w:name w:val="EPM Text Style Level 3"/>
    <w:basedOn w:val="EPMTextstyle"/>
    <w:qFormat/>
    <w:rsid w:val="009C26C6"/>
    <w:pPr>
      <w:numPr>
        <w:ilvl w:val="2"/>
        <w:numId w:val="34"/>
      </w:numPr>
      <w:ind w:left="1418" w:hanging="851"/>
    </w:pPr>
  </w:style>
  <w:style w:type="character" w:customStyle="1" w:styleId="normaltextrun">
    <w:name w:val="normaltextrun"/>
    <w:basedOn w:val="DefaultParagraphFont"/>
    <w:rsid w:val="009C26C6"/>
  </w:style>
  <w:style w:type="character" w:customStyle="1" w:styleId="eop">
    <w:name w:val="eop"/>
    <w:basedOn w:val="DefaultParagraphFont"/>
    <w:rsid w:val="009C26C6"/>
  </w:style>
  <w:style w:type="paragraph" w:customStyle="1" w:styleId="EPMPolicyTitle">
    <w:name w:val="EPM Policy Title"/>
    <w:basedOn w:val="Title"/>
    <w:link w:val="EPMPolicyTitleChar"/>
    <w:qFormat/>
    <w:rsid w:val="009C26C6"/>
    <w:rPr>
      <w:rFonts w:ascii="Arial" w:hAnsi="Arial" w:cs="Arial"/>
      <w:b/>
      <w:bCs/>
      <w:noProof/>
      <w:sz w:val="72"/>
      <w:szCs w:val="72"/>
    </w:rPr>
  </w:style>
  <w:style w:type="character" w:customStyle="1" w:styleId="EPMPolicyTitleChar">
    <w:name w:val="EPM Policy Title Char"/>
    <w:basedOn w:val="TitleChar"/>
    <w:link w:val="EPMPolicyTitle"/>
    <w:rsid w:val="009C26C6"/>
    <w:rPr>
      <w:rFonts w:ascii="Arial" w:eastAsiaTheme="majorEastAsia" w:hAnsi="Arial" w:cs="Arial"/>
      <w:b/>
      <w:bCs/>
      <w:noProof/>
      <w:spacing w:val="-10"/>
      <w:kern w:val="28"/>
      <w:sz w:val="72"/>
      <w:szCs w:val="72"/>
    </w:rPr>
  </w:style>
  <w:style w:type="paragraph" w:styleId="Title">
    <w:name w:val="Title"/>
    <w:basedOn w:val="Normal"/>
    <w:next w:val="Normal"/>
    <w:link w:val="TitleChar"/>
    <w:uiPriority w:val="10"/>
    <w:rsid w:val="009C26C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C26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425613657">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A4B8-0AB9-47B7-BFCE-A03EF98294D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C169F8BC-211F-472F-9C40-8932DD695A77}">
  <ds:schemaRefs>
    <ds:schemaRef ds:uri="http://schemas.microsoft.com/sharepoint/v3/contenttype/forms"/>
  </ds:schemaRefs>
</ds:datastoreItem>
</file>

<file path=customXml/itemProps3.xml><?xml version="1.0" encoding="utf-8"?>
<ds:datastoreItem xmlns:ds="http://schemas.openxmlformats.org/officeDocument/2006/customXml" ds:itemID="{99253D37-2F78-45CF-A0E4-8053AAC2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83740-92E1-414A-866C-D1B678DD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Hall</dc:creator>
  <cp:lastModifiedBy>Laura Fielding</cp:lastModifiedBy>
  <cp:revision>3</cp:revision>
  <cp:lastPrinted>2016-05-26T11:20:00Z</cp:lastPrinted>
  <dcterms:created xsi:type="dcterms:W3CDTF">2024-06-18T12:44:00Z</dcterms:created>
  <dcterms:modified xsi:type="dcterms:W3CDTF">2024-06-18T12:48:00Z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